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PurpleWASP Risk Management Technical Documentation</w:t>
      </w:r>
    </w:p>
    <w:p>
      <w:pPr>
        <w:pStyle w:val="Subtitle"/>
        <w:jc w:val="center"/>
      </w:pPr>
      <w:r>
        <w:t>Architecture, CIA and FAIR Assessment, Technical Exposure, Treatment, Exceptions, Reassessment, Security and Operations Reference</w:t>
      </w:r>
    </w:p>
    <w:p/>
    <w:tbl>
      <w:tblPr>
        <w:tblStyle w:val="TableGrid"/>
        <w:tblW w:type="auto" w:w="0"/>
        <w:jc w:val="center"/>
        <w:tblLook w:firstColumn="1" w:firstRow="1" w:lastColumn="0" w:lastRow="0" w:noHBand="0" w:noVBand="1" w:val="04A0"/>
      </w:tblPr>
      <w:tblGrid>
        <w:gridCol w:w="5040"/>
        <w:gridCol w:w="5040"/>
      </w:tblGrid>
      <w:tr>
        <w:tc>
          <w:tcPr>
            <w:tcW w:type="dxa" w:w="2304"/>
            <w:shd w:fill="4B2466"/>
            <w:vAlign w:val="center"/>
          </w:tcPr>
          <w:p>
            <w:r/>
            <w:r>
              <w:rPr>
                <w:b/>
                <w:color w:val="FFFFFF"/>
                <w:sz w:val="18"/>
              </w:rPr>
              <w:t>Document</w:t>
            </w:r>
          </w:p>
        </w:tc>
        <w:tc>
          <w:tcPr>
            <w:tcW w:type="dxa" w:w="6912"/>
            <w:shd w:fill="4B2466"/>
            <w:vAlign w:val="center"/>
          </w:tcPr>
          <w:p>
            <w:r/>
            <w:r>
              <w:rPr>
                <w:b/>
                <w:color w:val="FFFFFF"/>
                <w:sz w:val="18"/>
              </w:rPr>
              <w:t>Value</w:t>
            </w:r>
          </w:p>
        </w:tc>
      </w:tr>
      <w:tr>
        <w:tc>
          <w:tcPr>
            <w:tcW w:type="dxa" w:w="2304"/>
            <w:vAlign w:val="center"/>
          </w:tcPr>
          <w:p>
            <w:r/>
            <w:r>
              <w:rPr>
                <w:b w:val="0"/>
                <w:sz w:val="17"/>
              </w:rPr>
              <w:t>Version</w:t>
            </w:r>
          </w:p>
        </w:tc>
        <w:tc>
          <w:tcPr>
            <w:tcW w:type="dxa" w:w="6912"/>
            <w:vAlign w:val="center"/>
          </w:tcPr>
          <w:p>
            <w:r/>
            <w:r>
              <w:rPr>
                <w:b w:val="0"/>
                <w:sz w:val="17"/>
              </w:rPr>
              <w:t>2.0</w:t>
            </w:r>
          </w:p>
        </w:tc>
      </w:tr>
      <w:tr>
        <w:tc>
          <w:tcPr>
            <w:tcW w:type="dxa" w:w="2304"/>
            <w:vAlign w:val="center"/>
          </w:tcPr>
          <w:p>
            <w:r/>
            <w:r>
              <w:rPr>
                <w:b w:val="0"/>
                <w:sz w:val="17"/>
              </w:rPr>
              <w:t>Date</w:t>
            </w:r>
          </w:p>
        </w:tc>
        <w:tc>
          <w:tcPr>
            <w:tcW w:type="dxa" w:w="6912"/>
            <w:vAlign w:val="center"/>
          </w:tcPr>
          <w:p>
            <w:r/>
            <w:r>
              <w:rPr>
                <w:b w:val="0"/>
                <w:sz w:val="17"/>
              </w:rPr>
              <w:t>21 September 2026</w:t>
            </w:r>
          </w:p>
        </w:tc>
      </w:tr>
      <w:tr>
        <w:tc>
          <w:tcPr>
            <w:tcW w:type="dxa" w:w="2304"/>
            <w:vAlign w:val="center"/>
          </w:tcPr>
          <w:p>
            <w:r/>
            <w:r>
              <w:rPr>
                <w:b w:val="0"/>
                <w:sz w:val="17"/>
              </w:rPr>
              <w:t>Status</w:t>
            </w:r>
          </w:p>
        </w:tc>
        <w:tc>
          <w:tcPr>
            <w:tcW w:type="dxa" w:w="6912"/>
            <w:vAlign w:val="center"/>
          </w:tcPr>
          <w:p>
            <w:r/>
            <w:r>
              <w:rPr>
                <w:b w:val="0"/>
                <w:sz w:val="17"/>
              </w:rPr>
              <w:t>Risk Management + technical-exposure baseline documented</w:t>
            </w:r>
          </w:p>
        </w:tc>
      </w:tr>
      <w:tr>
        <w:tc>
          <w:tcPr>
            <w:tcW w:type="dxa" w:w="2304"/>
            <w:vAlign w:val="center"/>
          </w:tcPr>
          <w:p>
            <w:r/>
            <w:r>
              <w:rPr>
                <w:b w:val="0"/>
                <w:sz w:val="17"/>
              </w:rPr>
              <w:t>Application</w:t>
            </w:r>
          </w:p>
        </w:tc>
        <w:tc>
          <w:tcPr>
            <w:tcW w:type="dxa" w:w="6912"/>
            <w:vAlign w:val="center"/>
          </w:tcPr>
          <w:p>
            <w:r/>
            <w:r>
              <w:rPr>
                <w:b w:val="0"/>
                <w:sz w:val="17"/>
              </w:rPr>
              <w:t>PurpleWASP</w:t>
            </w:r>
          </w:p>
        </w:tc>
      </w:tr>
      <w:tr>
        <w:tc>
          <w:tcPr>
            <w:tcW w:type="dxa" w:w="2304"/>
            <w:vAlign w:val="center"/>
          </w:tcPr>
          <w:p>
            <w:r/>
            <w:r>
              <w:rPr>
                <w:b w:val="0"/>
                <w:sz w:val="17"/>
              </w:rPr>
              <w:t>Component</w:t>
            </w:r>
          </w:p>
        </w:tc>
        <w:tc>
          <w:tcPr>
            <w:tcW w:type="dxa" w:w="6912"/>
            <w:vAlign w:val="center"/>
          </w:tcPr>
          <w:p>
            <w:r/>
            <w:r>
              <w:rPr>
                <w:b w:val="0"/>
                <w:sz w:val="17"/>
              </w:rPr>
              <w:t>Risk Management</w:t>
            </w:r>
          </w:p>
        </w:tc>
      </w:tr>
    </w:tbl>
    <w:p/>
    <w:p>
      <w:r>
        <w:rPr>
          <w:b/>
        </w:rPr>
        <w:t xml:space="preserve">Purpose: </w:t>
      </w:r>
      <w:r>
        <w:t>This document is the technical architecture, data-model, assessment, technical-evidence, governance, treatment, exception, cross-module integration, security, regression-test and operations reference for PurpleWASP Risk Management.</w:t>
      </w:r>
    </w:p>
    <w:p>
      <w:r>
        <w:rPr>
          <w:b/>
        </w:rPr>
        <w:t xml:space="preserve">Scope note: </w:t>
      </w:r>
      <w:r>
        <w:t>Version 2.0 extends the v1.0 Risk baseline with provider-neutral technical finding links, grouped technical-vulnerability assessment factors, shared finding details, Asset-originated link/create flows and immutable technical-evidence snapshots across reassessment.</w:t>
      </w:r>
    </w:p>
    <w:p>
      <w:r>
        <w:br w:type="page"/>
      </w:r>
    </w:p>
    <w:p>
      <w:pPr>
        <w:pStyle w:val="Heading1"/>
      </w:pPr>
      <w:r>
        <w:t>Contents</w:t>
      </w:r>
    </w:p>
    <w:p>
      <w:pPr>
        <w:spacing w:before="0" w:after="20" w:line="240" w:lineRule="auto"/>
      </w:pPr>
      <w:r>
        <w:rPr>
          <w:sz w:val="17"/>
        </w:rPr>
        <w:t>1. Purpose and Scope</w:t>
      </w:r>
    </w:p>
    <w:p>
      <w:pPr>
        <w:spacing w:before="0" w:after="20" w:line="240" w:lineRule="auto"/>
      </w:pPr>
      <w:r>
        <w:rPr>
          <w:sz w:val="17"/>
        </w:rPr>
        <w:t>2. Design Principles</w:t>
      </w:r>
    </w:p>
    <w:p>
      <w:pPr>
        <w:spacing w:before="0" w:after="20" w:line="240" w:lineRule="auto"/>
      </w:pPr>
      <w:r>
        <w:rPr>
          <w:sz w:val="17"/>
        </w:rPr>
        <w:t>3. High-Level Architecture</w:t>
      </w:r>
    </w:p>
    <w:p>
      <w:pPr>
        <w:spacing w:before="0" w:after="20" w:line="240" w:lineRule="auto"/>
      </w:pPr>
      <w:r>
        <w:rPr>
          <w:sz w:val="17"/>
        </w:rPr>
        <w:t>4. Directory and File Layout</w:t>
      </w:r>
    </w:p>
    <w:p>
      <w:pPr>
        <w:spacing w:before="0" w:after="20" w:line="240" w:lineRule="auto"/>
      </w:pPr>
      <w:r>
        <w:rPr>
          <w:sz w:val="17"/>
        </w:rPr>
        <w:t>5. Risk Register Data Model</w:t>
      </w:r>
    </w:p>
    <w:p>
      <w:pPr>
        <w:spacing w:before="0" w:after="20" w:line="240" w:lineRule="auto"/>
      </w:pPr>
      <w:r>
        <w:rPr>
          <w:sz w:val="17"/>
        </w:rPr>
        <w:t>6. Risk Identity, Categories and Ownership</w:t>
      </w:r>
    </w:p>
    <w:p>
      <w:pPr>
        <w:spacing w:before="0" w:after="20" w:line="240" w:lineRule="auto"/>
      </w:pPr>
      <w:r>
        <w:rPr>
          <w:sz w:val="17"/>
        </w:rPr>
        <w:t>7. Risk Register and Creation Workflow</w:t>
      </w:r>
    </w:p>
    <w:p>
      <w:pPr>
        <w:spacing w:before="0" w:after="20" w:line="240" w:lineRule="auto"/>
      </w:pPr>
      <w:r>
        <w:rPr>
          <w:sz w:val="17"/>
        </w:rPr>
        <w:t>8. Assessment Architecture and Versioning</w:t>
      </w:r>
    </w:p>
    <w:p>
      <w:pPr>
        <w:spacing w:before="0" w:after="20" w:line="240" w:lineRule="auto"/>
      </w:pPr>
      <w:r>
        <w:rPr>
          <w:sz w:val="17"/>
        </w:rPr>
        <w:t>9. CIA Assessment Model</w:t>
      </w:r>
    </w:p>
    <w:p>
      <w:pPr>
        <w:spacing w:before="0" w:after="20" w:line="240" w:lineRule="auto"/>
      </w:pPr>
      <w:r>
        <w:rPr>
          <w:sz w:val="17"/>
        </w:rPr>
        <w:t>10. Technical Exposure and Finding Link Architecture</w:t>
      </w:r>
    </w:p>
    <w:p>
      <w:pPr>
        <w:spacing w:before="0" w:after="20" w:line="240" w:lineRule="auto"/>
      </w:pPr>
      <w:r>
        <w:rPr>
          <w:sz w:val="17"/>
        </w:rPr>
        <w:t>11. Technical Vulnerability Assessment Factors</w:t>
      </w:r>
    </w:p>
    <w:p>
      <w:pPr>
        <w:spacing w:before="0" w:after="20" w:line="240" w:lineRule="auto"/>
      </w:pPr>
      <w:r>
        <w:rPr>
          <w:sz w:val="17"/>
        </w:rPr>
        <w:t>12. Technical Evidence Snapshots</w:t>
      </w:r>
    </w:p>
    <w:p>
      <w:pPr>
        <w:spacing w:before="0" w:after="20" w:line="240" w:lineRule="auto"/>
      </w:pPr>
      <w:r>
        <w:rPr>
          <w:sz w:val="17"/>
        </w:rPr>
        <w:t>13. FAIR Quantitative Assessment</w:t>
      </w:r>
    </w:p>
    <w:p>
      <w:pPr>
        <w:spacing w:before="0" w:after="20" w:line="240" w:lineRule="auto"/>
      </w:pPr>
      <w:r>
        <w:rPr>
          <w:sz w:val="17"/>
        </w:rPr>
        <w:t>14. Evaluation, Acceptance Criteria, Appetite and Tolerance</w:t>
      </w:r>
    </w:p>
    <w:p>
      <w:pPr>
        <w:spacing w:before="0" w:after="20" w:line="240" w:lineRule="auto"/>
      </w:pPr>
      <w:r>
        <w:rPr>
          <w:sz w:val="17"/>
        </w:rPr>
        <w:t>15. Risk Treatment Architecture</w:t>
      </w:r>
    </w:p>
    <w:p>
      <w:pPr>
        <w:spacing w:before="0" w:after="20" w:line="240" w:lineRule="auto"/>
      </w:pPr>
      <w:r>
        <w:rPr>
          <w:sz w:val="17"/>
        </w:rPr>
        <w:t>16. Treatment Actions, Controls and Policies</w:t>
      </w:r>
    </w:p>
    <w:p>
      <w:pPr>
        <w:spacing w:before="0" w:after="20" w:line="240" w:lineRule="auto"/>
      </w:pPr>
      <w:r>
        <w:rPr>
          <w:sz w:val="17"/>
        </w:rPr>
        <w:t>17. Treatment Evidence and Risk Transfer</w:t>
      </w:r>
    </w:p>
    <w:p>
      <w:pPr>
        <w:spacing w:before="0" w:after="20" w:line="240" w:lineRule="auto"/>
      </w:pPr>
      <w:r>
        <w:rPr>
          <w:sz w:val="17"/>
        </w:rPr>
        <w:t>18. Risk Exception Governance</w:t>
      </w:r>
    </w:p>
    <w:p>
      <w:pPr>
        <w:spacing w:before="0" w:after="20" w:line="240" w:lineRule="auto"/>
      </w:pPr>
      <w:r>
        <w:rPr>
          <w:sz w:val="17"/>
        </w:rPr>
        <w:t>19. Risk Lifecycle Management</w:t>
      </w:r>
    </w:p>
    <w:p>
      <w:pPr>
        <w:spacing w:before="0" w:after="20" w:line="240" w:lineRule="auto"/>
      </w:pPr>
      <w:r>
        <w:rPr>
          <w:sz w:val="17"/>
        </w:rPr>
        <w:t>20. Reassessment and Asset Management Integration</w:t>
      </w:r>
    </w:p>
    <w:p>
      <w:pPr>
        <w:spacing w:before="0" w:after="20" w:line="240" w:lineRule="auto"/>
      </w:pPr>
      <w:r>
        <w:rPr>
          <w:sz w:val="17"/>
        </w:rPr>
        <w:t>21. Threat, Manual Vulnerability and Technical Evidence Relationships</w:t>
      </w:r>
    </w:p>
    <w:p>
      <w:pPr>
        <w:spacing w:before="0" w:after="20" w:line="240" w:lineRule="auto"/>
      </w:pPr>
      <w:r>
        <w:rPr>
          <w:sz w:val="17"/>
        </w:rPr>
        <w:t>22. Asset-originated Link/Create Risk Workflow</w:t>
      </w:r>
    </w:p>
    <w:p>
      <w:pPr>
        <w:spacing w:before="0" w:after="20" w:line="240" w:lineRule="auto"/>
      </w:pPr>
      <w:r>
        <w:rPr>
          <w:sz w:val="17"/>
        </w:rPr>
        <w:t>23. Risk Import</w:t>
      </w:r>
    </w:p>
    <w:p>
      <w:pPr>
        <w:spacing w:before="0" w:after="20" w:line="240" w:lineRule="auto"/>
      </w:pPr>
      <w:r>
        <w:rPr>
          <w:sz w:val="17"/>
        </w:rPr>
        <w:t>24. Dashboard and Management Analytics</w:t>
      </w:r>
    </w:p>
    <w:p>
      <w:pPr>
        <w:spacing w:before="0" w:after="20" w:line="240" w:lineRule="auto"/>
      </w:pPr>
      <w:r>
        <w:rPr>
          <w:sz w:val="17"/>
        </w:rPr>
        <w:t>25. Risk Graph and Business Context</w:t>
      </w:r>
    </w:p>
    <w:p>
      <w:pPr>
        <w:spacing w:before="0" w:after="20" w:line="240" w:lineRule="auto"/>
      </w:pPr>
      <w:r>
        <w:rPr>
          <w:sz w:val="17"/>
        </w:rPr>
        <w:t>26. Third-Party Risk Management Integration</w:t>
      </w:r>
    </w:p>
    <w:p>
      <w:pPr>
        <w:spacing w:before="0" w:after="20" w:line="240" w:lineRule="auto"/>
      </w:pPr>
      <w:r>
        <w:rPr>
          <w:sz w:val="17"/>
        </w:rPr>
        <w:t>27. Permissions and Authorisation</w:t>
      </w:r>
    </w:p>
    <w:p>
      <w:pPr>
        <w:spacing w:before="0" w:after="20" w:line="240" w:lineRule="auto"/>
      </w:pPr>
      <w:r>
        <w:rPr>
          <w:sz w:val="17"/>
        </w:rPr>
        <w:t>28. Security Controls and Trust Boundaries</w:t>
      </w:r>
    </w:p>
    <w:p>
      <w:pPr>
        <w:spacing w:before="0" w:after="20" w:line="240" w:lineRule="auto"/>
      </w:pPr>
      <w:r>
        <w:rPr>
          <w:sz w:val="17"/>
        </w:rPr>
        <w:t>29. Audit Logging and Data Integrity</w:t>
      </w:r>
    </w:p>
    <w:p>
      <w:pPr>
        <w:spacing w:before="0" w:after="20" w:line="240" w:lineRule="auto"/>
      </w:pPr>
      <w:r>
        <w:rPr>
          <w:sz w:val="17"/>
        </w:rPr>
        <w:t>30. PurpAI Risk Copilot</w:t>
      </w:r>
    </w:p>
    <w:p>
      <w:pPr>
        <w:spacing w:before="0" w:after="20" w:line="240" w:lineRule="auto"/>
      </w:pPr>
      <w:r>
        <w:rPr>
          <w:sz w:val="17"/>
        </w:rPr>
        <w:t>31. Error Handling and Resilience</w:t>
      </w:r>
    </w:p>
    <w:p>
      <w:pPr>
        <w:spacing w:before="0" w:after="20" w:line="240" w:lineRule="auto"/>
      </w:pPr>
      <w:r>
        <w:rPr>
          <w:sz w:val="17"/>
        </w:rPr>
        <w:t>32. Current Deployment Inventory</w:t>
      </w:r>
    </w:p>
    <w:p>
      <w:pPr>
        <w:spacing w:before="0" w:after="20" w:line="240" w:lineRule="auto"/>
      </w:pPr>
      <w:r>
        <w:rPr>
          <w:sz w:val="17"/>
        </w:rPr>
        <w:t>33. Deployment and Change Procedure</w:t>
      </w:r>
    </w:p>
    <w:p>
      <w:pPr>
        <w:spacing w:before="0" w:after="20" w:line="240" w:lineRule="auto"/>
      </w:pPr>
      <w:r>
        <w:rPr>
          <w:sz w:val="17"/>
        </w:rPr>
        <w:t>34. Regression Test Suite</w:t>
      </w:r>
    </w:p>
    <w:p>
      <w:pPr>
        <w:spacing w:before="0" w:after="20" w:line="240" w:lineRule="auto"/>
      </w:pPr>
      <w:r>
        <w:rPr>
          <w:sz w:val="17"/>
        </w:rPr>
        <w:t>35. Troubleshooting Guide</w:t>
      </w:r>
    </w:p>
    <w:p>
      <w:pPr>
        <w:spacing w:before="0" w:after="20" w:line="240" w:lineRule="auto"/>
      </w:pPr>
      <w:r>
        <w:rPr>
          <w:sz w:val="17"/>
        </w:rPr>
        <w:t>36. Known Limitations and Implementation Notes</w:t>
      </w:r>
    </w:p>
    <w:p>
      <w:pPr>
        <w:spacing w:before="0" w:after="20" w:line="240" w:lineRule="auto"/>
      </w:pPr>
      <w:r>
        <w:rPr>
          <w:sz w:val="17"/>
        </w:rPr>
        <w:t>37. Maintenance Rules for Future Development</w:t>
      </w:r>
    </w:p>
    <w:p>
      <w:pPr>
        <w:spacing w:before="0" w:after="20" w:line="240" w:lineRule="auto"/>
      </w:pPr>
      <w:r>
        <w:rPr>
          <w:sz w:val="17"/>
        </w:rPr>
        <w:t>Appendix A. Database Inventory</w:t>
      </w:r>
    </w:p>
    <w:p>
      <w:pPr>
        <w:spacing w:before="0" w:after="20" w:line="240" w:lineRule="auto"/>
      </w:pPr>
      <w:r>
        <w:rPr>
          <w:sz w:val="17"/>
        </w:rPr>
        <w:t>Appendix B. Endpoint and Permission Matrix</w:t>
      </w:r>
    </w:p>
    <w:p>
      <w:pPr>
        <w:spacing w:before="0" w:after="20" w:line="240" w:lineRule="auto"/>
      </w:pPr>
      <w:r>
        <w:rPr>
          <w:sz w:val="17"/>
        </w:rPr>
        <w:t>Appendix C. Technical Evidence State Model</w:t>
      </w:r>
    </w:p>
    <w:p>
      <w:pPr>
        <w:spacing w:before="0" w:after="20" w:line="240" w:lineRule="auto"/>
      </w:pPr>
      <w:r>
        <w:rPr>
          <w:sz w:val="17"/>
        </w:rPr>
        <w:t>Appendix D. Definition of Done for Risk Management v2.0</w:t>
      </w:r>
    </w:p>
    <w:p>
      <w:r>
        <w:br w:type="page"/>
      </w:r>
    </w:p>
    <w:p>
      <w:pPr>
        <w:pStyle w:val="Heading1"/>
      </w:pPr>
      <w:r>
        <w:t>1. Purpose and Scope</w:t>
      </w:r>
    </w:p>
    <w:p>
      <w:r>
        <w:t>Risk Management remains the PurpleWASP system of record for organisation Risks and the authoritative workflow for qualitative CIA assessment, FAIR analysis, appetite/tolerance evaluation, treatment, exceptions, reassessment and lifecycle. Version 2.0 adds explicit technical-evidence traceability without turning scanner observations into automatic business Risks.</w:t>
      </w:r>
    </w:p>
    <w:p>
      <w:pPr>
        <w:pStyle w:val="Heading1"/>
      </w:pPr>
      <w:r>
        <w:t>2. Design Principles</w:t>
      </w:r>
    </w:p>
    <w:p>
      <w:pPr>
        <w:ind w:left="216"/>
      </w:pPr>
      <w:r>
        <w:rPr>
          <w:b/>
        </w:rPr>
        <w:t xml:space="preserve">1. </w:t>
      </w:r>
      <w:r>
        <w:t>Risk identity remains separate from assessment/evaluation/treatment history.</w:t>
      </w:r>
    </w:p>
    <w:p>
      <w:pPr>
        <w:ind w:left="216"/>
      </w:pPr>
      <w:r>
        <w:rPr>
          <w:b/>
        </w:rPr>
        <w:t xml:space="preserve">2. </w:t>
      </w:r>
      <w:r>
        <w:t>Completed assessment versions are immutable; reassessment creates a new editable version.</w:t>
      </w:r>
    </w:p>
    <w:p>
      <w:pPr>
        <w:ind w:left="216"/>
      </w:pPr>
      <w:r>
        <w:rPr>
          <w:b/>
        </w:rPr>
        <w:t xml:space="preserve">3. </w:t>
      </w:r>
      <w:r>
        <w:t>Manual weaknesses/causes and linked technical findings are distinct evidence types and can coexist.</w:t>
      </w:r>
    </w:p>
    <w:p>
      <w:pPr>
        <w:ind w:left="216"/>
      </w:pPr>
      <w:r>
        <w:rPr>
          <w:b/>
        </w:rPr>
        <w:t xml:space="preserve">4. </w:t>
      </w:r>
      <w:r>
        <w:t>Technical findings remain owned by Asset Management; Risk stores logical links and assessment-specific factor values.</w:t>
      </w:r>
    </w:p>
    <w:p>
      <w:pPr>
        <w:ind w:left="216"/>
      </w:pPr>
      <w:r>
        <w:rPr>
          <w:b/>
        </w:rPr>
        <w:t xml:space="preserve">5. </w:t>
      </w:r>
      <w:r>
        <w:t>A technical vulnerability group is assessed once even when multiple observations/ports/services exist.</w:t>
      </w:r>
    </w:p>
    <w:p>
      <w:pPr>
        <w:ind w:left="216"/>
      </w:pPr>
      <w:r>
        <w:rPr>
          <w:b/>
        </w:rPr>
        <w:t xml:space="preserve">6. </w:t>
      </w:r>
      <w:r>
        <w:t>Scanner severity/CVSS informs context but does not automatically set business-scenario exploitability, Control effectiveness or uncertainty.</w:t>
      </w:r>
    </w:p>
    <w:p>
      <w:pPr>
        <w:ind w:left="216"/>
      </w:pPr>
      <w:r>
        <w:rPr>
          <w:b/>
        </w:rPr>
        <w:t xml:space="preserve">7. </w:t>
      </w:r>
      <w:r>
        <w:t>Live technical evidence uses snapshot_key=0; assessment completion freezes linked evidence and factors to the analysis snapshot.</w:t>
      </w:r>
    </w:p>
    <w:p>
      <w:pPr>
        <w:ind w:left="216"/>
      </w:pPr>
      <w:r>
        <w:rPr>
          <w:b/>
        </w:rPr>
        <w:t xml:space="preserve">8. </w:t>
      </w:r>
      <w:r>
        <w:t>New findings may be linked to an active Risk whose latest assessment is completed; they influence scoring only in a new/live reassessment.</w:t>
      </w:r>
    </w:p>
    <w:p>
      <w:pPr>
        <w:ind w:left="216"/>
      </w:pPr>
      <w:r>
        <w:rPr>
          <w:b/>
        </w:rPr>
        <w:t xml:space="preserve">9. </w:t>
      </w:r>
      <w:r>
        <w:t>No cross-database FK is created to tenant Asset findings.</w:t>
      </w:r>
    </w:p>
    <w:p>
      <w:pPr>
        <w:ind w:left="216"/>
      </w:pPr>
      <w:r>
        <w:rPr>
          <w:b/>
        </w:rPr>
        <w:t xml:space="preserve">10. </w:t>
      </w:r>
      <w:r>
        <w:t>The same shared finding-detail view should describe evidence from both Asset and Risk workflows.</w:t>
      </w:r>
    </w:p>
    <w:p>
      <w:pPr>
        <w:pStyle w:val="Heading1"/>
      </w:pPr>
      <w:r>
        <w:t>3. High-Level Architecture</w:t>
      </w:r>
    </w:p>
    <w:p>
      <w:pPr>
        <w:pStyle w:val="PWCode"/>
      </w:pPr>
      <w:r>
        <w:rPr>
          <w:rFonts w:ascii="Consolas" w:hAnsi="Consolas"/>
          <w:sz w:val="16"/>
        </w:rPr>
        <w:t>Asset Management findings</w:t>
        <w:br/>
        <w:t xml:space="preserve">  -&gt; Risk technical_exposure_api.php</w:t>
        <w:br/>
        <w:t xml:space="preserve">     -&gt; risk_finding_map (live relationship)</w:t>
        <w:br/>
        <w:t xml:space="preserve">     -&gt; risk_technical_vulnerability_assessment (group factor values)</w:t>
        <w:br/>
        <w:br/>
        <w:t>CIA workflow completion</w:t>
        <w:br/>
        <w:t xml:space="preserve">  -&gt; snapshot linked findings + factor values to analysis_id</w:t>
        <w:br/>
        <w:t>Reassessment</w:t>
        <w:br/>
        <w:t xml:space="preserve">  -&gt; new live analysis; current linked findings remain snapshot_key=0</w:t>
        <w:br/>
        <w:t xml:space="preserve">  -&gt; prior assessment technical evidence remains immutable</w:t>
      </w:r>
    </w:p>
    <w:p>
      <w:pPr>
        <w:pStyle w:val="Heading1"/>
      </w:pPr>
      <w:r>
        <w:t>4. Directory and File Layout</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File / path</w:t>
            </w:r>
          </w:p>
        </w:tc>
        <w:tc>
          <w:tcPr>
            <w:tcW w:type="dxa" w:w="5040"/>
            <w:shd w:fill="4B2466"/>
            <w:vAlign w:val="center"/>
          </w:tcPr>
          <w:p>
            <w:r/>
            <w:r>
              <w:rPr>
                <w:b/>
                <w:color w:val="FFFFFF"/>
                <w:sz w:val="18"/>
              </w:rPr>
              <w:t>Purpose</w:t>
            </w:r>
          </w:p>
        </w:tc>
      </w:tr>
      <w:tr>
        <w:tc>
          <w:tcPr>
            <w:tcW w:type="dxa" w:w="5040"/>
            <w:vAlign w:val="center"/>
          </w:tcPr>
          <w:p>
            <w:r/>
            <w:r>
              <w:rPr>
                <w:b w:val="0"/>
                <w:sz w:val="17"/>
              </w:rPr>
              <w:t>/risk_management/risk_register.php</w:t>
            </w:r>
          </w:p>
        </w:tc>
        <w:tc>
          <w:tcPr>
            <w:tcW w:type="dxa" w:w="5040"/>
            <w:vAlign w:val="center"/>
          </w:tcPr>
          <w:p>
            <w:r/>
            <w:r>
              <w:rPr>
                <w:b w:val="0"/>
                <w:sz w:val="17"/>
              </w:rPr>
              <w:t>Primary register, assessment entry, deep-link and script bootstrap.</w:t>
            </w:r>
          </w:p>
        </w:tc>
      </w:tr>
      <w:tr>
        <w:tc>
          <w:tcPr>
            <w:tcW w:type="dxa" w:w="5040"/>
            <w:vAlign w:val="center"/>
          </w:tcPr>
          <w:p>
            <w:r/>
            <w:r>
              <w:rPr>
                <w:b w:val="0"/>
                <w:sz w:val="17"/>
              </w:rPr>
              <w:t>/risk_management/assets/risk_workflow_api.php</w:t>
            </w:r>
          </w:p>
        </w:tc>
        <w:tc>
          <w:tcPr>
            <w:tcW w:type="dxa" w:w="5040"/>
            <w:vAlign w:val="center"/>
          </w:tcPr>
          <w:p>
            <w:r/>
            <w:r>
              <w:rPr>
                <w:b w:val="0"/>
                <w:sz w:val="17"/>
              </w:rPr>
              <w:t>CIA/FAIR drafts, reassessment, completion and snapshot boundary.</w:t>
            </w:r>
          </w:p>
        </w:tc>
      </w:tr>
      <w:tr>
        <w:tc>
          <w:tcPr>
            <w:tcW w:type="dxa" w:w="5040"/>
            <w:vAlign w:val="center"/>
          </w:tcPr>
          <w:p>
            <w:r/>
            <w:r>
              <w:rPr>
                <w:b w:val="0"/>
                <w:sz w:val="17"/>
              </w:rPr>
              <w:t>/risk_management/assets/technical_exposure_api.php</w:t>
            </w:r>
          </w:p>
        </w:tc>
        <w:tc>
          <w:tcPr>
            <w:tcW w:type="dxa" w:w="5040"/>
            <w:vAlign w:val="center"/>
          </w:tcPr>
          <w:p>
            <w:r/>
            <w:r>
              <w:rPr>
                <w:b w:val="0"/>
                <w:sz w:val="17"/>
              </w:rPr>
              <w:t>List/link/unlink findings, save technical-vulnerability factors, read live/snapshot groups.</w:t>
            </w:r>
          </w:p>
        </w:tc>
      </w:tr>
      <w:tr>
        <w:tc>
          <w:tcPr>
            <w:tcW w:type="dxa" w:w="5040"/>
            <w:vAlign w:val="center"/>
          </w:tcPr>
          <w:p>
            <w:r/>
            <w:r>
              <w:rPr>
                <w:b w:val="0"/>
                <w:sz w:val="17"/>
              </w:rPr>
              <w:t>/risk_management/assets/js/risk_technical_exposure.js</w:t>
            </w:r>
          </w:p>
        </w:tc>
        <w:tc>
          <w:tcPr>
            <w:tcW w:type="dxa" w:w="5040"/>
            <w:vAlign w:val="center"/>
          </w:tcPr>
          <w:p>
            <w:r/>
            <w:r>
              <w:rPr>
                <w:b w:val="0"/>
                <w:sz w:val="17"/>
              </w:rPr>
              <w:t>Technical Exposure UI and assessment factor editing.</w:t>
            </w:r>
          </w:p>
        </w:tc>
      </w:tr>
      <w:tr>
        <w:tc>
          <w:tcPr>
            <w:tcW w:type="dxa" w:w="5040"/>
            <w:vAlign w:val="center"/>
          </w:tcPr>
          <w:p>
            <w:r/>
            <w:r>
              <w:rPr>
                <w:b w:val="0"/>
                <w:sz w:val="17"/>
              </w:rPr>
              <w:t>/risk_management/assets/js/risk_cia_identification.js</w:t>
            </w:r>
          </w:p>
        </w:tc>
        <w:tc>
          <w:tcPr>
            <w:tcW w:type="dxa" w:w="5040"/>
            <w:vAlign w:val="center"/>
          </w:tcPr>
          <w:p>
            <w:r/>
            <w:r>
              <w:rPr>
                <w:b w:val="0"/>
                <w:sz w:val="17"/>
              </w:rPr>
              <w:t>Threat/manual weakness/technical exposure/current controls Identification UI and working scenario aggregation.</w:t>
            </w:r>
          </w:p>
        </w:tc>
      </w:tr>
      <w:tr>
        <w:tc>
          <w:tcPr>
            <w:tcW w:type="dxa" w:w="5040"/>
            <w:vAlign w:val="center"/>
          </w:tcPr>
          <w:p>
            <w:r/>
            <w:r>
              <w:rPr>
                <w:b w:val="0"/>
                <w:sz w:val="17"/>
              </w:rPr>
              <w:t>/risk_management/assets/js/risk_cia_boot.js</w:t>
            </w:r>
          </w:p>
        </w:tc>
        <w:tc>
          <w:tcPr>
            <w:tcW w:type="dxa" w:w="5040"/>
            <w:vAlign w:val="center"/>
          </w:tcPr>
          <w:p>
            <w:r/>
            <w:r>
              <w:rPr>
                <w:b w:val="0"/>
                <w:sz w:val="17"/>
              </w:rPr>
              <w:t>Assessment version/live-vs-snapshot mode and CIA stepper.</w:t>
            </w:r>
          </w:p>
        </w:tc>
      </w:tr>
      <w:tr>
        <w:tc>
          <w:tcPr>
            <w:tcW w:type="dxa" w:w="5040"/>
            <w:vAlign w:val="center"/>
          </w:tcPr>
          <w:p>
            <w:r/>
            <w:r>
              <w:rPr>
                <w:b w:val="0"/>
                <w:sz w:val="17"/>
              </w:rPr>
              <w:t>/risk_management/assets/js/risk_modal.js</w:t>
            </w:r>
          </w:p>
        </w:tc>
        <w:tc>
          <w:tcPr>
            <w:tcW w:type="dxa" w:w="5040"/>
            <w:vAlign w:val="center"/>
          </w:tcPr>
          <w:p>
            <w:r/>
            <w:r>
              <w:rPr>
                <w:b w:val="0"/>
                <w:sz w:val="17"/>
              </w:rPr>
              <w:t>CIA/FAIR assessment shell and Guide this assessment trigger.</w:t>
            </w:r>
          </w:p>
        </w:tc>
      </w:tr>
      <w:tr>
        <w:tc>
          <w:tcPr>
            <w:tcW w:type="dxa" w:w="5040"/>
            <w:vAlign w:val="center"/>
          </w:tcPr>
          <w:p>
            <w:r/>
            <w:r>
              <w:rPr>
                <w:b w:val="0"/>
                <w:sz w:val="17"/>
              </w:rPr>
              <w:t>/asset_management/assets/get_finding_detail.php</w:t>
            </w:r>
          </w:p>
        </w:tc>
        <w:tc>
          <w:tcPr>
            <w:tcW w:type="dxa" w:w="5040"/>
            <w:vAlign w:val="center"/>
          </w:tcPr>
          <w:p>
            <w:r/>
            <w:r>
              <w:rPr>
                <w:b w:val="0"/>
                <w:sz w:val="17"/>
              </w:rPr>
              <w:t>Shared provider-neutral finding details used from Risk.</w:t>
            </w:r>
          </w:p>
        </w:tc>
      </w:tr>
    </w:tbl>
    <w:p/>
    <w:p>
      <w:pPr>
        <w:pStyle w:val="Heading1"/>
      </w:pPr>
      <w:r>
        <w:t>5. Risk Register Data Model</w:t>
      </w:r>
    </w:p>
    <w:p>
      <w:r>
        <w:t>risk_register remains the top-level Risk identity/lifecycle record. Technical findings are not stored as columns on risk_register; relationship and factor tables preserve their own provenance and snapshot lineage.</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Domain</w:t>
            </w:r>
          </w:p>
        </w:tc>
        <w:tc>
          <w:tcPr>
            <w:tcW w:type="dxa" w:w="5040"/>
            <w:shd w:fill="4B2466"/>
            <w:vAlign w:val="center"/>
          </w:tcPr>
          <w:p>
            <w:r/>
            <w:r>
              <w:rPr>
                <w:b/>
                <w:color w:val="FFFFFF"/>
                <w:sz w:val="18"/>
              </w:rPr>
              <w:t>Representative fields</w:t>
            </w:r>
          </w:p>
        </w:tc>
      </w:tr>
      <w:tr>
        <w:tc>
          <w:tcPr>
            <w:tcW w:type="dxa" w:w="5040"/>
            <w:vAlign w:val="center"/>
          </w:tcPr>
          <w:p>
            <w:r/>
            <w:r>
              <w:rPr>
                <w:b w:val="0"/>
                <w:sz w:val="17"/>
              </w:rPr>
              <w:t>Identity</w:t>
            </w:r>
          </w:p>
        </w:tc>
        <w:tc>
          <w:tcPr>
            <w:tcW w:type="dxa" w:w="5040"/>
            <w:vAlign w:val="center"/>
          </w:tcPr>
          <w:p>
            <w:r/>
            <w:r>
              <w:rPr>
                <w:b w:val="0"/>
                <w:sz w:val="17"/>
              </w:rPr>
              <w:t>risk_register_id, risk_id, asset_id</w:t>
            </w:r>
          </w:p>
        </w:tc>
      </w:tr>
      <w:tr>
        <w:tc>
          <w:tcPr>
            <w:tcW w:type="dxa" w:w="5040"/>
            <w:vAlign w:val="center"/>
          </w:tcPr>
          <w:p>
            <w:r/>
            <w:r>
              <w:rPr>
                <w:b w:val="0"/>
                <w:sz w:val="17"/>
              </w:rPr>
              <w:t>Classification</w:t>
            </w:r>
          </w:p>
        </w:tc>
        <w:tc>
          <w:tcPr>
            <w:tcW w:type="dxa" w:w="5040"/>
            <w:vAlign w:val="center"/>
          </w:tcPr>
          <w:p>
            <w:r/>
            <w:r>
              <w:rPr>
                <w:b w:val="0"/>
                <w:sz w:val="17"/>
              </w:rPr>
              <w:t>risk_category, risk_owner</w:t>
            </w:r>
          </w:p>
        </w:tc>
      </w:tr>
      <w:tr>
        <w:tc>
          <w:tcPr>
            <w:tcW w:type="dxa" w:w="5040"/>
            <w:vAlign w:val="center"/>
          </w:tcPr>
          <w:p>
            <w:r/>
            <w:r>
              <w:rPr>
                <w:b w:val="0"/>
                <w:sz w:val="17"/>
              </w:rPr>
              <w:t>Headline assessment</w:t>
            </w:r>
          </w:p>
        </w:tc>
        <w:tc>
          <w:tcPr>
            <w:tcW w:type="dxa" w:w="5040"/>
            <w:vAlign w:val="center"/>
          </w:tcPr>
          <w:p>
            <w:r/>
            <w:r>
              <w:rPr>
                <w:b w:val="0"/>
                <w:sz w:val="17"/>
              </w:rPr>
              <w:t>likelihood, threat_impact, uncertainty, calculated_risk, risk_severity</w:t>
            </w:r>
          </w:p>
        </w:tc>
      </w:tr>
      <w:tr>
        <w:tc>
          <w:tcPr>
            <w:tcW w:type="dxa" w:w="5040"/>
            <w:vAlign w:val="center"/>
          </w:tcPr>
          <w:p>
            <w:r/>
            <w:r>
              <w:rPr>
                <w:b w:val="0"/>
                <w:sz w:val="17"/>
              </w:rPr>
              <w:t>Lifecycle</w:t>
            </w:r>
          </w:p>
        </w:tc>
        <w:tc>
          <w:tcPr>
            <w:tcW w:type="dxa" w:w="5040"/>
            <w:vAlign w:val="center"/>
          </w:tcPr>
          <w:p>
            <w:r/>
            <w:r>
              <w:rPr>
                <w:b w:val="0"/>
                <w:sz w:val="17"/>
              </w:rPr>
              <w:t>status, opened_at, treated_at, accepted_at, closed_at, is_archived</w:t>
            </w:r>
          </w:p>
        </w:tc>
      </w:tr>
      <w:tr>
        <w:tc>
          <w:tcPr>
            <w:tcW w:type="dxa" w:w="5040"/>
            <w:vAlign w:val="center"/>
          </w:tcPr>
          <w:p>
            <w:r/>
            <w:r>
              <w:rPr>
                <w:b w:val="0"/>
                <w:sz w:val="17"/>
              </w:rPr>
              <w:t>Assessment/reassessment</w:t>
            </w:r>
          </w:p>
        </w:tc>
        <w:tc>
          <w:tcPr>
            <w:tcW w:type="dxa" w:w="5040"/>
            <w:vAlign w:val="center"/>
          </w:tcPr>
          <w:p>
            <w:r/>
            <w:r>
              <w:rPr>
                <w:b w:val="0"/>
                <w:sz w:val="17"/>
              </w:rPr>
              <w:t>assessment_status, treatment_locked, next_review_due</w:t>
            </w:r>
          </w:p>
        </w:tc>
      </w:tr>
      <w:tr>
        <w:tc>
          <w:tcPr>
            <w:tcW w:type="dxa" w:w="5040"/>
            <w:vAlign w:val="center"/>
          </w:tcPr>
          <w:p>
            <w:r/>
            <w:r>
              <w:rPr>
                <w:b w:val="0"/>
                <w:sz w:val="17"/>
              </w:rPr>
              <w:t>Exception</w:t>
            </w:r>
          </w:p>
        </w:tc>
        <w:tc>
          <w:tcPr>
            <w:tcW w:type="dxa" w:w="5040"/>
            <w:vAlign w:val="center"/>
          </w:tcPr>
          <w:p>
            <w:r/>
            <w:r>
              <w:rPr>
                <w:b w:val="0"/>
                <w:sz w:val="17"/>
              </w:rPr>
              <w:t>pending_exception, pending_exception_id</w:t>
            </w:r>
          </w:p>
        </w:tc>
      </w:tr>
    </w:tbl>
    <w:p/>
    <w:p>
      <w:pPr>
        <w:pStyle w:val="Heading1"/>
      </w:pPr>
      <w:r>
        <w:t>6. Risk Identity, Categories and Ownership</w:t>
      </w:r>
    </w:p>
    <w:p>
      <w:r>
        <w:t>Existing v1.0 semantics remain. Manual creation revalidates the Asset and rejects a duplicate active Risk under the current one-active-Risk-per-Asset application rule.</w:t>
      </w:r>
    </w:p>
    <w:p>
      <w:pPr>
        <w:pStyle w:val="Heading1"/>
      </w:pPr>
      <w:r>
        <w:t>7. Risk Register and Creation Workflow</w:t>
      </w:r>
    </w:p>
    <w:p>
      <w:r>
        <w:t>Risk creation can originate from the register, TPRM deep link or Asset vulnerability workspace. The Asset-originated path preselects the Asset and carries selected technical finding identities; the normal Risk create validation still runs before findings are linked.</w:t>
      </w:r>
    </w:p>
    <w:p>
      <w:pPr>
        <w:pStyle w:val="Heading1"/>
      </w:pPr>
      <w:r>
        <w:t>8. Assessment Architecture and Versioning</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State</w:t>
            </w:r>
          </w:p>
        </w:tc>
        <w:tc>
          <w:tcPr>
            <w:tcW w:type="dxa" w:w="5040"/>
            <w:shd w:fill="4B2466"/>
            <w:vAlign w:val="center"/>
          </w:tcPr>
          <w:p>
            <w:r/>
            <w:r>
              <w:rPr>
                <w:b/>
                <w:color w:val="FFFFFF"/>
                <w:sz w:val="18"/>
              </w:rPr>
              <w:t>Meaning</w:t>
            </w:r>
          </w:p>
        </w:tc>
      </w:tr>
      <w:tr>
        <w:tc>
          <w:tcPr>
            <w:tcW w:type="dxa" w:w="5040"/>
            <w:vAlign w:val="center"/>
          </w:tcPr>
          <w:p>
            <w:r/>
            <w:r>
              <w:rPr>
                <w:b w:val="0"/>
                <w:sz w:val="17"/>
              </w:rPr>
              <w:t>latest + editable</w:t>
            </w:r>
          </w:p>
        </w:tc>
        <w:tc>
          <w:tcPr>
            <w:tcW w:type="dxa" w:w="5040"/>
            <w:vAlign w:val="center"/>
          </w:tcPr>
          <w:p>
            <w:r/>
            <w:r>
              <w:rPr>
                <w:b w:val="0"/>
                <w:sz w:val="17"/>
              </w:rPr>
              <w:t>Current working analysis/reassessment.</w:t>
            </w:r>
          </w:p>
        </w:tc>
      </w:tr>
      <w:tr>
        <w:tc>
          <w:tcPr>
            <w:tcW w:type="dxa" w:w="5040"/>
            <w:vAlign w:val="center"/>
          </w:tcPr>
          <w:p>
            <w:r/>
            <w:r>
              <w:rPr>
                <w:b w:val="0"/>
                <w:sz w:val="17"/>
              </w:rPr>
              <w:t>latest + read_only</w:t>
            </w:r>
          </w:p>
        </w:tc>
        <w:tc>
          <w:tcPr>
            <w:tcW w:type="dxa" w:w="5040"/>
            <w:vAlign w:val="center"/>
          </w:tcPr>
          <w:p>
            <w:r/>
            <w:r>
              <w:rPr>
                <w:b w:val="0"/>
                <w:sz w:val="17"/>
              </w:rPr>
              <w:t>Latest completed analysis.</w:t>
            </w:r>
          </w:p>
        </w:tc>
      </w:tr>
      <w:tr>
        <w:tc>
          <w:tcPr>
            <w:tcW w:type="dxa" w:w="5040"/>
            <w:vAlign w:val="center"/>
          </w:tcPr>
          <w:p>
            <w:r/>
            <w:r>
              <w:rPr>
                <w:b w:val="0"/>
                <w:sz w:val="17"/>
              </w:rPr>
              <w:t>historical + read_only</w:t>
            </w:r>
          </w:p>
        </w:tc>
        <w:tc>
          <w:tcPr>
            <w:tcW w:type="dxa" w:w="5040"/>
            <w:vAlign w:val="center"/>
          </w:tcPr>
          <w:p>
            <w:r/>
            <w:r>
              <w:rPr>
                <w:b w:val="0"/>
                <w:sz w:val="17"/>
              </w:rPr>
              <w:t>Prior immutable assessment version.</w:t>
            </w:r>
          </w:p>
        </w:tc>
      </w:tr>
      <w:tr>
        <w:tc>
          <w:tcPr>
            <w:tcW w:type="dxa" w:w="5040"/>
            <w:vAlign w:val="center"/>
          </w:tcPr>
          <w:p>
            <w:r/>
            <w:r>
              <w:rPr>
                <w:b w:val="0"/>
                <w:sz w:val="17"/>
              </w:rPr>
              <w:t>snapshot_key = 0</w:t>
            </w:r>
          </w:p>
        </w:tc>
        <w:tc>
          <w:tcPr>
            <w:tcW w:type="dxa" w:w="5040"/>
            <w:vAlign w:val="center"/>
          </w:tcPr>
          <w:p>
            <w:r/>
            <w:r>
              <w:rPr>
                <w:b w:val="0"/>
                <w:sz w:val="17"/>
              </w:rPr>
              <w:t>Live relationship/factor state.</w:t>
            </w:r>
          </w:p>
        </w:tc>
      </w:tr>
      <w:tr>
        <w:tc>
          <w:tcPr>
            <w:tcW w:type="dxa" w:w="5040"/>
            <w:vAlign w:val="center"/>
          </w:tcPr>
          <w:p>
            <w:r/>
            <w:r>
              <w:rPr>
                <w:b w:val="0"/>
                <w:sz w:val="17"/>
              </w:rPr>
              <w:t>snapshot_key = analysis_id</w:t>
            </w:r>
          </w:p>
        </w:tc>
        <w:tc>
          <w:tcPr>
            <w:tcW w:type="dxa" w:w="5040"/>
            <w:vAlign w:val="center"/>
          </w:tcPr>
          <w:p>
            <w:r/>
            <w:r>
              <w:rPr>
                <w:b w:val="0"/>
                <w:sz w:val="17"/>
              </w:rPr>
              <w:t>Frozen assessment-specific technical evidence.</w:t>
            </w:r>
          </w:p>
        </w:tc>
      </w:tr>
    </w:tbl>
    <w:p/>
    <w:tbl>
      <w:tblPr>
        <w:tblStyle w:val="TableGrid"/>
        <w:tblW w:type="auto" w:w="0"/>
        <w:tblLook w:firstColumn="1" w:firstRow="1" w:lastColumn="0" w:lastRow="0" w:noHBand="0" w:noVBand="1" w:val="04A0"/>
      </w:tblPr>
      <w:tblGrid>
        <w:gridCol w:w="10080"/>
      </w:tblGrid>
      <w:tr>
        <w:tc>
          <w:tcPr>
            <w:tcW w:type="dxa" w:w="10080"/>
            <w:shd w:fill="F5F0F8"/>
          </w:tcPr>
          <w:p>
            <w:pPr>
              <w:spacing w:after="0"/>
            </w:pPr>
            <w:r>
              <w:rPr>
                <w:b/>
                <w:color w:val="4B2466"/>
              </w:rPr>
              <w:t xml:space="preserve">Critical live/snapshot rule: </w:t>
            </w:r>
            <w:r>
              <w:t>The presence of an analysis_id does not mean the UI is viewing a historical snapshot. A live reassessment has a working analysis_id while technical evidence remains live at snapshot_key=0 until completion.</w:t>
            </w:r>
          </w:p>
        </w:tc>
      </w:tr>
    </w:tbl>
    <w:p/>
    <w:p>
      <w:pPr>
        <w:pStyle w:val="Heading1"/>
      </w:pPr>
      <w:r>
        <w:t>9. CIA Assessment Model</w:t>
      </w:r>
    </w:p>
    <w:p>
      <w:r>
        <w:t>CIA assessment retains inherent/current/residual stages, configured acceptance criteria and appetite/tolerance governance. The Identification working scenario can now include both analyst-entered vulnerabilities/causes and grouped technical-vulnerability factors.</w:t>
      </w:r>
    </w:p>
    <w:p>
      <w:pPr>
        <w:pStyle w:val="Heading1"/>
      </w:pPr>
      <w:r>
        <w:t>10. Technical Exposure and Finding Link Architecture</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Object</w:t>
            </w:r>
          </w:p>
        </w:tc>
        <w:tc>
          <w:tcPr>
            <w:tcW w:type="dxa" w:w="5040"/>
            <w:shd w:fill="4B2466"/>
            <w:vAlign w:val="center"/>
          </w:tcPr>
          <w:p>
            <w:r/>
            <w:r>
              <w:rPr>
                <w:b/>
                <w:color w:val="FFFFFF"/>
                <w:sz w:val="18"/>
              </w:rPr>
              <w:t>Responsibility</w:t>
            </w:r>
          </w:p>
        </w:tc>
      </w:tr>
      <w:tr>
        <w:tc>
          <w:tcPr>
            <w:tcW w:type="dxa" w:w="5040"/>
            <w:vAlign w:val="center"/>
          </w:tcPr>
          <w:p>
            <w:r/>
            <w:r>
              <w:rPr>
                <w:b w:val="0"/>
                <w:sz w:val="17"/>
              </w:rPr>
              <w:t>Asset asset_vulnerability_findings</w:t>
            </w:r>
          </w:p>
        </w:tc>
        <w:tc>
          <w:tcPr>
            <w:tcW w:type="dxa" w:w="5040"/>
            <w:vAlign w:val="center"/>
          </w:tcPr>
          <w:p>
            <w:r/>
            <w:r>
              <w:rPr>
                <w:b w:val="0"/>
                <w:sz w:val="17"/>
              </w:rPr>
              <w:t>Source-of-truth current technical observation.</w:t>
            </w:r>
          </w:p>
        </w:tc>
      </w:tr>
      <w:tr>
        <w:tc>
          <w:tcPr>
            <w:tcW w:type="dxa" w:w="5040"/>
            <w:vAlign w:val="center"/>
          </w:tcPr>
          <w:p>
            <w:r/>
            <w:r>
              <w:rPr>
                <w:b w:val="0"/>
                <w:sz w:val="17"/>
              </w:rPr>
              <w:t>risk_finding_map</w:t>
            </w:r>
          </w:p>
        </w:tc>
        <w:tc>
          <w:tcPr>
            <w:tcW w:type="dxa" w:w="5040"/>
            <w:vAlign w:val="center"/>
          </w:tcPr>
          <w:p>
            <w:r/>
            <w:r>
              <w:rPr>
                <w:b w:val="0"/>
                <w:sz w:val="17"/>
              </w:rPr>
              <w:t>Logical Risk-to-finding relationship plus provider/stable identity and snapshots.</w:t>
            </w:r>
          </w:p>
        </w:tc>
      </w:tr>
      <w:tr>
        <w:tc>
          <w:tcPr>
            <w:tcW w:type="dxa" w:w="5040"/>
            <w:vAlign w:val="center"/>
          </w:tcPr>
          <w:p>
            <w:r/>
            <w:r>
              <w:rPr>
                <w:b w:val="0"/>
                <w:sz w:val="17"/>
              </w:rPr>
              <w:t>risk_technical_vulnerability_assessment</w:t>
            </w:r>
          </w:p>
        </w:tc>
        <w:tc>
          <w:tcPr>
            <w:tcW w:type="dxa" w:w="5040"/>
            <w:vAlign w:val="center"/>
          </w:tcPr>
          <w:p>
            <w:r/>
            <w:r>
              <w:rPr>
                <w:b w:val="0"/>
                <w:sz w:val="17"/>
              </w:rPr>
              <w:t>Risk-level grouped vulnerability assessment factors.</w:t>
            </w:r>
          </w:p>
        </w:tc>
      </w:tr>
      <w:tr>
        <w:tc>
          <w:tcPr>
            <w:tcW w:type="dxa" w:w="5040"/>
            <w:vAlign w:val="center"/>
          </w:tcPr>
          <w:p>
            <w:r/>
            <w:r>
              <w:rPr>
                <w:b w:val="0"/>
                <w:sz w:val="17"/>
              </w:rPr>
              <w:t>source_vulnerability_catalog</w:t>
            </w:r>
          </w:p>
        </w:tc>
        <w:tc>
          <w:tcPr>
            <w:tcW w:type="dxa" w:w="5040"/>
            <w:vAlign w:val="center"/>
          </w:tcPr>
          <w:p>
            <w:r/>
            <w:r>
              <w:rPr>
                <w:b w:val="0"/>
                <w:sz w:val="17"/>
              </w:rPr>
              <w:t>Global provider vulnerability definition used for enrichment.</w:t>
            </w:r>
          </w:p>
        </w:tc>
      </w:tr>
      <w:tr>
        <w:tc>
          <w:tcPr>
            <w:tcW w:type="dxa" w:w="5040"/>
            <w:vAlign w:val="center"/>
          </w:tcPr>
          <w:p>
            <w:r/>
            <w:r>
              <w:rPr>
                <w:b w:val="0"/>
                <w:sz w:val="17"/>
              </w:rPr>
              <w:t>source_vulnerability_cve_map</w:t>
            </w:r>
          </w:p>
        </w:tc>
        <w:tc>
          <w:tcPr>
            <w:tcW w:type="dxa" w:w="5040"/>
            <w:vAlign w:val="center"/>
          </w:tcPr>
          <w:p>
            <w:r/>
            <w:r>
              <w:rPr>
                <w:b w:val="0"/>
                <w:sz w:val="17"/>
              </w:rPr>
              <w:t>Global source vulnerability to CVE mapping.</w:t>
            </w:r>
          </w:p>
        </w:tc>
      </w:tr>
    </w:tbl>
    <w:p/>
    <w:p>
      <w:r>
        <w:t>risk_finding_map stores finding_id for convenience plus integration/provider/external identities for provenance/rebinding. The mapping remains valid evidence even if the current provider row changes status.</w:t>
      </w:r>
    </w:p>
    <w:p>
      <w:pPr>
        <w:pStyle w:val="Heading1"/>
      </w:pPr>
      <w:r>
        <w:t>11. Technical Vulnerability Assessment Factors</w:t>
      </w:r>
    </w:p>
    <w:p>
      <w:r>
        <w:t>Each linked provider/source vulnerability group can record Exploitability / likelihood, Control effectiveness and Uncertainty %. These values are Risk assessment judgements, not provider-owned fields.</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Factor</w:t>
            </w:r>
          </w:p>
        </w:tc>
        <w:tc>
          <w:tcPr>
            <w:tcW w:type="dxa" w:w="5040"/>
            <w:shd w:fill="4B2466"/>
            <w:vAlign w:val="center"/>
          </w:tcPr>
          <w:p>
            <w:r/>
            <w:r>
              <w:rPr>
                <w:b/>
                <w:color w:val="FFFFFF"/>
                <w:sz w:val="18"/>
              </w:rPr>
              <w:t>Range / meaning</w:t>
            </w:r>
          </w:p>
        </w:tc>
      </w:tr>
      <w:tr>
        <w:tc>
          <w:tcPr>
            <w:tcW w:type="dxa" w:w="5040"/>
            <w:vAlign w:val="center"/>
          </w:tcPr>
          <w:p>
            <w:r/>
            <w:r>
              <w:rPr>
                <w:b w:val="0"/>
                <w:sz w:val="17"/>
              </w:rPr>
              <w:t>Exploitability / likelihood</w:t>
            </w:r>
          </w:p>
        </w:tc>
        <w:tc>
          <w:tcPr>
            <w:tcW w:type="dxa" w:w="5040"/>
            <w:vAlign w:val="center"/>
          </w:tcPr>
          <w:p>
            <w:r/>
            <w:r>
              <w:rPr>
                <w:b w:val="0"/>
                <w:sz w:val="17"/>
              </w:rPr>
              <w:t>Organisation CIA scale (normally 1–5 or configured maximum).</w:t>
            </w:r>
          </w:p>
        </w:tc>
      </w:tr>
      <w:tr>
        <w:tc>
          <w:tcPr>
            <w:tcW w:type="dxa" w:w="5040"/>
            <w:vAlign w:val="center"/>
          </w:tcPr>
          <w:p>
            <w:r/>
            <w:r>
              <w:rPr>
                <w:b w:val="0"/>
                <w:sz w:val="17"/>
              </w:rPr>
              <w:t>Control effectiveness</w:t>
            </w:r>
          </w:p>
        </w:tc>
        <w:tc>
          <w:tcPr>
            <w:tcW w:type="dxa" w:w="5040"/>
            <w:vAlign w:val="center"/>
          </w:tcPr>
          <w:p>
            <w:r/>
            <w:r>
              <w:rPr>
                <w:b w:val="0"/>
                <w:sz w:val="17"/>
              </w:rPr>
              <w:t>0–1 reduction factor for controls already operating in the scenario.</w:t>
            </w:r>
          </w:p>
        </w:tc>
      </w:tr>
      <w:tr>
        <w:tc>
          <w:tcPr>
            <w:tcW w:type="dxa" w:w="5040"/>
            <w:vAlign w:val="center"/>
          </w:tcPr>
          <w:p>
            <w:r/>
            <w:r>
              <w:rPr>
                <w:b w:val="0"/>
                <w:sz w:val="17"/>
              </w:rPr>
              <w:t>Uncertainty %</w:t>
            </w:r>
          </w:p>
        </w:tc>
        <w:tc>
          <w:tcPr>
            <w:tcW w:type="dxa" w:w="5040"/>
            <w:vAlign w:val="center"/>
          </w:tcPr>
          <w:p>
            <w:r/>
            <w:r>
              <w:rPr>
                <w:b w:val="0"/>
                <w:sz w:val="17"/>
              </w:rPr>
              <w:t>Explicit percentage allowance for uncertainty.</w:t>
            </w:r>
          </w:p>
        </w:tc>
      </w:tr>
      <w:tr>
        <w:tc>
          <w:tcPr>
            <w:tcW w:type="dxa" w:w="5040"/>
            <w:vAlign w:val="center"/>
          </w:tcPr>
          <w:p>
            <w:r/>
            <w:r>
              <w:rPr>
                <w:b w:val="0"/>
                <w:sz w:val="17"/>
              </w:rPr>
              <w:t>Adjusted technical probability</w:t>
            </w:r>
          </w:p>
        </w:tc>
        <w:tc>
          <w:tcPr>
            <w:tcW w:type="dxa" w:w="5040"/>
            <w:vAlign w:val="center"/>
          </w:tcPr>
          <w:p>
            <w:r/>
            <w:r>
              <w:rPr>
                <w:b w:val="0"/>
                <w:sz w:val="17"/>
              </w:rPr>
              <w:t>UI working indicator derived from the three factors; server assessment workflow remains authoritative.</w:t>
            </w:r>
          </w:p>
        </w:tc>
      </w:tr>
    </w:tbl>
    <w:p/>
    <w:p>
      <w:r>
        <w:t>A grouped technical vulnerability contributes once even when several findings, services or ports are linked. This avoids multiplicative scoring caused by observation count.</w:t>
      </w:r>
    </w:p>
    <w:p>
      <w:pPr>
        <w:pStyle w:val="Heading1"/>
      </w:pPr>
      <w:r>
        <w:t>12. Technical Evidence Snapshots</w:t>
      </w:r>
    </w:p>
    <w:p>
      <w:pPr>
        <w:ind w:left="216"/>
      </w:pPr>
      <w:r>
        <w:rPr>
          <w:b/>
        </w:rPr>
        <w:t xml:space="preserve">1. </w:t>
      </w:r>
      <w:r>
        <w:t>Live Risk evidence links use snapshot_key=0.</w:t>
      </w:r>
    </w:p>
    <w:p>
      <w:pPr>
        <w:ind w:left="216"/>
      </w:pPr>
      <w:r>
        <w:rPr>
          <w:b/>
        </w:rPr>
        <w:t xml:space="preserve">2. </w:t>
      </w:r>
      <w:r>
        <w:t>During assessment/reassessment, the UI reads current linked findings and editable group factors.</w:t>
      </w:r>
    </w:p>
    <w:p>
      <w:pPr>
        <w:ind w:left="216"/>
      </w:pPr>
      <w:r>
        <w:rPr>
          <w:b/>
        </w:rPr>
        <w:t xml:space="preserve">3. </w:t>
      </w:r>
      <w:r>
        <w:t>On completion, workflow logic snapshots linked findings and technical-vulnerability assessments to the analysis version.</w:t>
      </w:r>
    </w:p>
    <w:p>
      <w:pPr>
        <w:ind w:left="216"/>
      </w:pPr>
      <w:r>
        <w:rPr>
          <w:b/>
        </w:rPr>
        <w:t xml:space="preserve">4. </w:t>
      </w:r>
      <w:r>
        <w:t>Historical assessment view reads the frozen snapshot and becomes read-only.</w:t>
      </w:r>
    </w:p>
    <w:p>
      <w:pPr>
        <w:ind w:left="216"/>
      </w:pPr>
      <w:r>
        <w:rPr>
          <w:b/>
        </w:rPr>
        <w:t xml:space="preserve">5. </w:t>
      </w:r>
      <w:r>
        <w:t>New provider status changes or newly linked findings do not alter the prior snapshot.</w:t>
      </w:r>
    </w:p>
    <w:p>
      <w:pPr>
        <w:ind w:left="216"/>
      </w:pPr>
      <w:r>
        <w:rPr>
          <w:b/>
        </w:rPr>
        <w:t xml:space="preserve">6. </w:t>
      </w:r>
      <w:r>
        <w:t>Starting reassessment opens a new editable analysis and restores live Technical Exposure to current linked evidence.</w:t>
      </w:r>
    </w:p>
    <w:p>
      <w:pPr>
        <w:pStyle w:val="Heading1"/>
      </w:pPr>
      <w:r>
        <w:t>13. FAIR Quantitative Assessment</w:t>
      </w:r>
    </w:p>
    <w:p>
      <w:r>
        <w:t>The FAIR architecture from v1.0 remains. Technical finding links can inform scenario definition, but the current technical-vulnerability factor model is part of qualitative Identification and does not replace FAIR vulnerability modelling.</w:t>
      </w:r>
    </w:p>
    <w:p>
      <w:pPr>
        <w:pStyle w:val="Heading1"/>
      </w:pPr>
      <w:r>
        <w:t>14. Evaluation, Acceptance Criteria, Appetite and Tolerance</w:t>
      </w:r>
    </w:p>
    <w:p>
      <w:r>
        <w:t>Evaluation remains configuration-authoritative. Technical Exposure affects the working qualitative scenario before evaluation; appetite/tolerance and treatment decisions remain separate governance layers.</w:t>
      </w:r>
    </w:p>
    <w:p>
      <w:pPr>
        <w:pStyle w:val="Heading1"/>
      </w:pPr>
      <w:r>
        <w:t>15. Risk Treatment Architecture</w:t>
      </w:r>
    </w:p>
    <w:p>
      <w:r>
        <w:t>Treatment strategy semantics remain Mitigate, Accept, Transfer, Avoid, Monitor and Escalate. Linking a technical finding is not itself a treatment action. Proposed remediation belongs in treatment/actions/Controls.</w:t>
      </w:r>
    </w:p>
    <w:p>
      <w:pPr>
        <w:pStyle w:val="Heading1"/>
      </w:pPr>
      <w:r>
        <w:t>16. Treatment Actions, Controls and Policies</w:t>
      </w:r>
    </w:p>
    <w:p>
      <w:r>
        <w:t>Existing controls used in Identification represent operating safeguards. Planned technical remediation belongs in treatment. Completed control treatment may become existing-control context on reassessment according to existing promotion logic.</w:t>
      </w:r>
    </w:p>
    <w:p>
      <w:pPr>
        <w:pStyle w:val="Heading1"/>
      </w:pPr>
      <w:r>
        <w:t>17. Treatment Evidence and Risk Transfer</w:t>
      </w:r>
    </w:p>
    <w:p>
      <w:r>
        <w:t>Treatment evidence remains distinct from scanner evidence. Scanner evidence supports why the Risk exists or changed; treatment evidence supports what was implemented to reduce/transfer/avoid the Risk.</w:t>
      </w:r>
    </w:p>
    <w:p>
      <w:pPr>
        <w:pStyle w:val="Heading1"/>
      </w:pPr>
      <w:r>
        <w:t>18. Risk Exception Governance</w:t>
      </w:r>
    </w:p>
    <w:p>
      <w:r>
        <w:t>Pending exception state can block technical-evidence linkage where Risk governance requires stability. The exception lifecycle remains separate from finding status.</w:t>
      </w:r>
    </w:p>
    <w:p>
      <w:pPr>
        <w:pStyle w:val="Heading1"/>
      </w:pPr>
      <w:r>
        <w:t>19. Risk Lifecycle Management</w:t>
      </w:r>
    </w:p>
    <w:p>
      <w:r>
        <w:t>Assessment completion is not Risk closure. A completed assessment can leave the Risk active and treatment_locked; new technical evidence may be attached to that live Risk for consideration in the next reassessment. Closed/archived Risks remain non-linkable under the current Asset workflow.</w:t>
      </w:r>
    </w:p>
    <w:p>
      <w:pPr>
        <w:pStyle w:val="Heading1"/>
      </w:pPr>
      <w:r>
        <w:t>20. Reassessment and Asset Management Integration</w:t>
      </w:r>
    </w:p>
    <w:p>
      <w:pPr>
        <w:pStyle w:val="PWCode"/>
      </w:pPr>
      <w:r>
        <w:rPr>
          <w:rFonts w:ascii="Consolas" w:hAnsi="Consolas"/>
          <w:sz w:val="16"/>
        </w:rPr>
        <w:t>Completed assessment v1 (read-only snapshot)</w:t>
        <w:br/>
        <w:t xml:space="preserve">   + new Asset finding linked to live Risk</w:t>
        <w:br/>
        <w:t xml:space="preserve">   -&gt; Reassess Risk</w:t>
        <w:br/>
        <w:t xml:space="preserve">   -&gt; assessment v2 latest/editable</w:t>
        <w:br/>
        <w:t xml:space="preserve">   -&gt; Technical Exposure reads current live links (snapshot_key=0)</w:t>
        <w:br/>
        <w:t xml:space="preserve">   -&gt; assessor updates technical factors</w:t>
        <w:br/>
        <w:t xml:space="preserve">   -&gt; Complete</w:t>
        <w:br/>
        <w:t xml:space="preserve">   -&gt; v2 technical snapshot frozen</w:t>
      </w:r>
    </w:p>
    <w:p>
      <w:r>
        <w:t>The Risk Register Reassess action must call start_reassessment rather than merely reopening the completed assessment. The CIA boot logic must distinguish live working analysis IDs from explicit historical snapshot mode.</w:t>
      </w:r>
    </w:p>
    <w:p>
      <w:pPr>
        <w:pStyle w:val="Heading1"/>
      </w:pPr>
      <w:r>
        <w:t>21. Threat, Manual Vulnerability and Technical Evidence Relationships</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Relationship</w:t>
            </w:r>
          </w:p>
        </w:tc>
        <w:tc>
          <w:tcPr>
            <w:tcW w:type="dxa" w:w="5040"/>
            <w:shd w:fill="4B2466"/>
            <w:vAlign w:val="center"/>
          </w:tcPr>
          <w:p>
            <w:r/>
            <w:r>
              <w:rPr>
                <w:b/>
                <w:color w:val="FFFFFF"/>
                <w:sz w:val="18"/>
              </w:rPr>
              <w:t>Meaning</w:t>
            </w:r>
          </w:p>
        </w:tc>
      </w:tr>
      <w:tr>
        <w:tc>
          <w:tcPr>
            <w:tcW w:type="dxa" w:w="5040"/>
            <w:vAlign w:val="center"/>
          </w:tcPr>
          <w:p>
            <w:r/>
            <w:r>
              <w:rPr>
                <w:b w:val="0"/>
                <w:sz w:val="17"/>
              </w:rPr>
              <w:t>risk_threat_map / risk_threatpreset_map</w:t>
            </w:r>
          </w:p>
        </w:tc>
        <w:tc>
          <w:tcPr>
            <w:tcW w:type="dxa" w:w="5040"/>
            <w:vAlign w:val="center"/>
          </w:tcPr>
          <w:p>
            <w:r/>
            <w:r>
              <w:rPr>
                <w:b w:val="0"/>
                <w:sz w:val="17"/>
              </w:rPr>
              <w:t>Threat/risk-event context.</w:t>
            </w:r>
          </w:p>
        </w:tc>
      </w:tr>
      <w:tr>
        <w:tc>
          <w:tcPr>
            <w:tcW w:type="dxa" w:w="5040"/>
            <w:vAlign w:val="center"/>
          </w:tcPr>
          <w:p>
            <w:r/>
            <w:r>
              <w:rPr>
                <w:b w:val="0"/>
                <w:sz w:val="17"/>
              </w:rPr>
              <w:t>risk_vuln_map</w:t>
            </w:r>
          </w:p>
        </w:tc>
        <w:tc>
          <w:tcPr>
            <w:tcW w:type="dxa" w:w="5040"/>
            <w:vAlign w:val="center"/>
          </w:tcPr>
          <w:p>
            <w:r/>
            <w:r>
              <w:rPr>
                <w:b w:val="0"/>
                <w:sz w:val="17"/>
              </w:rPr>
              <w:t>Analyst-selected canonical vulnerability/CVE.</w:t>
            </w:r>
          </w:p>
        </w:tc>
      </w:tr>
      <w:tr>
        <w:tc>
          <w:tcPr>
            <w:tcW w:type="dxa" w:w="5040"/>
            <w:vAlign w:val="center"/>
          </w:tcPr>
          <w:p>
            <w:r/>
            <w:r>
              <w:rPr>
                <w:b w:val="0"/>
                <w:sz w:val="17"/>
              </w:rPr>
              <w:t>risk_othervuln_map</w:t>
            </w:r>
          </w:p>
        </w:tc>
        <w:tc>
          <w:tcPr>
            <w:tcW w:type="dxa" w:w="5040"/>
            <w:vAlign w:val="center"/>
          </w:tcPr>
          <w:p>
            <w:r/>
            <w:r>
              <w:rPr>
                <w:b w:val="0"/>
                <w:sz w:val="17"/>
              </w:rPr>
              <w:t>Analyst-selected global/org non-CVE weakness/cause.</w:t>
            </w:r>
          </w:p>
        </w:tc>
      </w:tr>
      <w:tr>
        <w:tc>
          <w:tcPr>
            <w:tcW w:type="dxa" w:w="5040"/>
            <w:vAlign w:val="center"/>
          </w:tcPr>
          <w:p>
            <w:r/>
            <w:r>
              <w:rPr>
                <w:b w:val="0"/>
                <w:sz w:val="17"/>
              </w:rPr>
              <w:t>risk_finding_map</w:t>
            </w:r>
          </w:p>
        </w:tc>
        <w:tc>
          <w:tcPr>
            <w:tcW w:type="dxa" w:w="5040"/>
            <w:vAlign w:val="center"/>
          </w:tcPr>
          <w:p>
            <w:r/>
            <w:r>
              <w:rPr>
                <w:b w:val="0"/>
                <w:sz w:val="17"/>
              </w:rPr>
              <w:t>Observed technical evidence from connected security tools.</w:t>
            </w:r>
          </w:p>
        </w:tc>
      </w:tr>
      <w:tr>
        <w:tc>
          <w:tcPr>
            <w:tcW w:type="dxa" w:w="5040"/>
            <w:vAlign w:val="center"/>
          </w:tcPr>
          <w:p>
            <w:r/>
            <w:r>
              <w:rPr>
                <w:b w:val="0"/>
                <w:sz w:val="17"/>
              </w:rPr>
              <w:t>risk_technical_vulnerability_assessment</w:t>
            </w:r>
          </w:p>
        </w:tc>
        <w:tc>
          <w:tcPr>
            <w:tcW w:type="dxa" w:w="5040"/>
            <w:vAlign w:val="center"/>
          </w:tcPr>
          <w:p>
            <w:r/>
            <w:r>
              <w:rPr>
                <w:b w:val="0"/>
                <w:sz w:val="17"/>
              </w:rPr>
              <w:t>Risk-specific factor assessment for a grouped linked technical vulnerability.</w:t>
            </w:r>
          </w:p>
        </w:tc>
      </w:tr>
    </w:tbl>
    <w:p/>
    <w:p>
      <w:pPr>
        <w:pStyle w:val="Heading1"/>
      </w:pPr>
      <w:r>
        <w:t>22. Asset-originated Link/Create Risk Workflow</w:t>
      </w:r>
    </w:p>
    <w:p>
      <w:r>
        <w:t>Asset Management lists existing Risks for the same Asset and distinguishes linkable from assessment-editable state. A completed active Risk can receive new evidence; the new evidence is then assessed on the next live reassessment. If no suitable Risk exists, the normal Risk creation workflow is used and selected findings are linked after successful creation.</w:t>
      </w:r>
    </w:p>
    <w:p>
      <w:pPr>
        <w:pStyle w:val="Heading1"/>
      </w:pPr>
      <w:r>
        <w:t>23. Risk Import</w:t>
      </w:r>
    </w:p>
    <w:p>
      <w:r>
        <w:t>Risk import remains separate from technical finding ingestion. Do not import provider findings as bulk Risk rows. The provider-neutral evidence link model is the authoritative path for scanner data.</w:t>
      </w:r>
    </w:p>
    <w:p>
      <w:pPr>
        <w:pStyle w:val="Heading1"/>
      </w:pPr>
      <w:r>
        <w:t>24. Dashboard and Management Analytics</w:t>
      </w:r>
    </w:p>
    <w:p>
      <w:r>
        <w:t>Existing Risk dashboard semantics remain. Future technical-exposure dashboard indicators should derive from live linked evidence without overwriting Risk severity or appetite state.</w:t>
      </w:r>
    </w:p>
    <w:p>
      <w:pPr>
        <w:pStyle w:val="Heading1"/>
      </w:pPr>
      <w:r>
        <w:t>25. Risk Graph and Business Context</w:t>
      </w:r>
    </w:p>
    <w:p>
      <w:r>
        <w:t>Risk Graph remains a read-only projection of native relationships. Technical finding nodes/edges may be added later, but the source of truth remains Asset finding data plus Risk logical links.</w:t>
      </w:r>
    </w:p>
    <w:p>
      <w:pPr>
        <w:pStyle w:val="Heading1"/>
      </w:pPr>
      <w:r>
        <w:t>26. Third-Party Risk Management Integration</w:t>
      </w:r>
    </w:p>
    <w:p>
      <w:r>
        <w:t>TPRM integration remains failure-isolated from core Risk writes. Scanner evidence attached to an Asset does not imply a Third Party relationship unless TPRM contains an explicit link.</w:t>
      </w:r>
    </w:p>
    <w:p>
      <w:pPr>
        <w:pStyle w:val="Heading1"/>
      </w:pPr>
      <w:r>
        <w:t>27. Permissions and Authorisation</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Capability</w:t>
            </w:r>
          </w:p>
        </w:tc>
        <w:tc>
          <w:tcPr>
            <w:tcW w:type="dxa" w:w="5040"/>
            <w:shd w:fill="4B2466"/>
            <w:vAlign w:val="center"/>
          </w:tcPr>
          <w:p>
            <w:r/>
            <w:r>
              <w:rPr>
                <w:b/>
                <w:color w:val="FFFFFF"/>
                <w:sz w:val="18"/>
              </w:rPr>
              <w:t>Use</w:t>
            </w:r>
          </w:p>
        </w:tc>
      </w:tr>
      <w:tr>
        <w:tc>
          <w:tcPr>
            <w:tcW w:type="dxa" w:w="5040"/>
            <w:vAlign w:val="center"/>
          </w:tcPr>
          <w:p>
            <w:r/>
            <w:r>
              <w:rPr>
                <w:b w:val="0"/>
                <w:sz w:val="17"/>
              </w:rPr>
              <w:t>risk.view</w:t>
            </w:r>
          </w:p>
        </w:tc>
        <w:tc>
          <w:tcPr>
            <w:tcW w:type="dxa" w:w="5040"/>
            <w:vAlign w:val="center"/>
          </w:tcPr>
          <w:p>
            <w:r/>
            <w:r>
              <w:rPr>
                <w:b w:val="0"/>
                <w:sz w:val="17"/>
              </w:rPr>
              <w:t>Read Risk, technical exposure and finding details through permitted bridges.</w:t>
            </w:r>
          </w:p>
        </w:tc>
      </w:tr>
      <w:tr>
        <w:tc>
          <w:tcPr>
            <w:tcW w:type="dxa" w:w="5040"/>
            <w:vAlign w:val="center"/>
          </w:tcPr>
          <w:p>
            <w:r/>
            <w:r>
              <w:rPr>
                <w:b w:val="0"/>
                <w:sz w:val="17"/>
              </w:rPr>
              <w:t>risk.write</w:t>
            </w:r>
          </w:p>
        </w:tc>
        <w:tc>
          <w:tcPr>
            <w:tcW w:type="dxa" w:w="5040"/>
            <w:vAlign w:val="center"/>
          </w:tcPr>
          <w:p>
            <w:r/>
            <w:r>
              <w:rPr>
                <w:b w:val="0"/>
                <w:sz w:val="17"/>
              </w:rPr>
              <w:t>Link/unlink technical evidence, save technical factors, start reassessment and complete assessments.</w:t>
            </w:r>
          </w:p>
        </w:tc>
      </w:tr>
      <w:tr>
        <w:tc>
          <w:tcPr>
            <w:tcW w:type="dxa" w:w="5040"/>
            <w:vAlign w:val="center"/>
          </w:tcPr>
          <w:p>
            <w:r/>
            <w:r>
              <w:rPr>
                <w:b w:val="0"/>
                <w:sz w:val="17"/>
              </w:rPr>
              <w:t>risk.manage</w:t>
            </w:r>
          </w:p>
        </w:tc>
        <w:tc>
          <w:tcPr>
            <w:tcW w:type="dxa" w:w="5040"/>
            <w:vAlign w:val="center"/>
          </w:tcPr>
          <w:p>
            <w:r/>
            <w:r>
              <w:rPr>
                <w:b w:val="0"/>
                <w:sz w:val="17"/>
              </w:rPr>
              <w:t>Lifecycle close/archive/unarchive and selected governance actions.</w:t>
            </w:r>
          </w:p>
        </w:tc>
      </w:tr>
      <w:tr>
        <w:tc>
          <w:tcPr>
            <w:tcW w:type="dxa" w:w="5040"/>
            <w:vAlign w:val="center"/>
          </w:tcPr>
          <w:p>
            <w:r/>
            <w:r>
              <w:rPr>
                <w:b w:val="0"/>
                <w:sz w:val="17"/>
              </w:rPr>
              <w:t>asset.view</w:t>
            </w:r>
          </w:p>
        </w:tc>
        <w:tc>
          <w:tcPr>
            <w:tcW w:type="dxa" w:w="5040"/>
            <w:vAlign w:val="center"/>
          </w:tcPr>
          <w:p>
            <w:r/>
            <w:r>
              <w:rPr>
                <w:b w:val="0"/>
                <w:sz w:val="17"/>
              </w:rPr>
              <w:t>Required on Asset-side finding workspace/details.</w:t>
            </w:r>
          </w:p>
        </w:tc>
      </w:tr>
      <w:tr>
        <w:tc>
          <w:tcPr>
            <w:tcW w:type="dxa" w:w="5040"/>
            <w:vAlign w:val="center"/>
          </w:tcPr>
          <w:p>
            <w:r/>
            <w:r>
              <w:rPr>
                <w:b w:val="0"/>
                <w:sz w:val="17"/>
              </w:rPr>
              <w:t>asset/risk combined</w:t>
            </w:r>
          </w:p>
        </w:tc>
        <w:tc>
          <w:tcPr>
            <w:tcW w:type="dxa" w:w="5040"/>
            <w:vAlign w:val="center"/>
          </w:tcPr>
          <w:p>
            <w:r/>
            <w:r>
              <w:rPr>
                <w:b w:val="0"/>
                <w:sz w:val="17"/>
              </w:rPr>
              <w:t>Asset-originated link/create path revalidates both Asset and Risk state server-side.</w:t>
            </w:r>
          </w:p>
        </w:tc>
      </w:tr>
    </w:tbl>
    <w:p/>
    <w:p>
      <w:pPr>
        <w:pStyle w:val="Heading1"/>
      </w:pPr>
      <w:r>
        <w:t>28. Security Controls and Trust Boundaries</w:t>
      </w:r>
    </w:p>
    <w:p>
      <w:pPr>
        <w:pStyle w:val="ListBullet"/>
      </w:pPr>
      <w:r>
        <w:t>Technical evidence selection is validated against the Risk Asset server-side.</w:t>
      </w:r>
    </w:p>
    <w:p>
      <w:pPr>
        <w:pStyle w:val="ListBullet"/>
      </w:pPr>
      <w:r>
        <w:t>CSRF is required for link/unlink/save-assessment mutations.</w:t>
      </w:r>
    </w:p>
    <w:p>
      <w:pPr>
        <w:pStyle w:val="ListBullet"/>
      </w:pPr>
      <w:r>
        <w:t>Scanner evidence is escaped before rendering.</w:t>
      </w:r>
    </w:p>
    <w:p>
      <w:pPr>
        <w:pStyle w:val="ListBullet"/>
      </w:pPr>
      <w:r>
        <w:t>No cross-database FK is created from Risk to Asset finding data.</w:t>
      </w:r>
    </w:p>
    <w:p>
      <w:pPr>
        <w:pStyle w:val="ListBullet"/>
      </w:pPr>
      <w:r>
        <w:t>Stable provider identity is retained to avoid dependence on a transient numeric finding ID.</w:t>
      </w:r>
    </w:p>
    <w:p>
      <w:pPr>
        <w:pStyle w:val="ListBullet"/>
      </w:pPr>
      <w:r>
        <w:t>Historical snapshots prevent current provider changes from rewriting prior assessment evidence.</w:t>
      </w:r>
    </w:p>
    <w:p>
      <w:pPr>
        <w:pStyle w:val="Heading1"/>
      </w:pPr>
      <w:r>
        <w:t>29. Audit Logging and Data Integrity</w:t>
      </w:r>
    </w:p>
    <w:p>
      <w:r>
        <w:t>Risk assessment/reassessment completion retains central audit and snapshot lineage. Technical evidence adds a separate auditable relationship and frozen snapshot rather than copying raw provider records into risk_register.</w:t>
      </w:r>
    </w:p>
    <w:p>
      <w:pPr>
        <w:pStyle w:val="Heading1"/>
      </w:pPr>
      <w:r>
        <w:t>30. PurpAI Risk Copilot</w:t>
      </w:r>
    </w:p>
    <w:p>
      <w:r>
        <w:t>PurpAI remains read-only. It may explain linked technical exposure from bounded context in future/current supported views but must not invent findings, set exploitability/control/uncertainty or close/reassess Risks automatically.</w:t>
      </w:r>
    </w:p>
    <w:p>
      <w:pPr>
        <w:pStyle w:val="Heading1"/>
      </w:pPr>
      <w:r>
        <w:t>31. Error Handling and Resilience</w:t>
      </w:r>
    </w:p>
    <w:p>
      <w:pPr>
        <w:pStyle w:val="ListBullet"/>
      </w:pPr>
      <w:r>
        <w:t>If Asset/global intel context is unavailable, core Risk records remain authoritative and technical enrichment fails separately.</w:t>
      </w:r>
    </w:p>
    <w:p>
      <w:pPr>
        <w:pStyle w:val="ListBullet"/>
      </w:pPr>
      <w:r>
        <w:t>Technical Exposure API returns controlled schema/state errors rather than fabricating findings.</w:t>
      </w:r>
    </w:p>
    <w:p>
      <w:pPr>
        <w:pStyle w:val="ListBullet"/>
      </w:pPr>
      <w:r>
        <w:t>A finding link can survive resolution and can be rebound by stable provider identity if a finding row is deliberately recreated.</w:t>
      </w:r>
    </w:p>
    <w:p>
      <w:pPr>
        <w:pStyle w:val="ListBullet"/>
      </w:pPr>
      <w:r>
        <w:t>Historical snapshot view intentionally does not substitute live scanner posture.</w:t>
      </w:r>
    </w:p>
    <w:p>
      <w:pPr>
        <w:pStyle w:val="Heading1"/>
      </w:pPr>
      <w:r>
        <w:t>32. Current Deployment Inventory</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Area</w:t>
            </w:r>
          </w:p>
        </w:tc>
        <w:tc>
          <w:tcPr>
            <w:tcW w:type="dxa" w:w="5040"/>
            <w:shd w:fill="4B2466"/>
            <w:vAlign w:val="center"/>
          </w:tcPr>
          <w:p>
            <w:r/>
            <w:r>
              <w:rPr>
                <w:b/>
                <w:color w:val="FFFFFF"/>
                <w:sz w:val="18"/>
              </w:rPr>
              <w:t>Current baseline</w:t>
            </w:r>
          </w:p>
        </w:tc>
      </w:tr>
      <w:tr>
        <w:tc>
          <w:tcPr>
            <w:tcW w:type="dxa" w:w="5040"/>
            <w:vAlign w:val="center"/>
          </w:tcPr>
          <w:p>
            <w:r/>
            <w:r>
              <w:rPr>
                <w:b w:val="0"/>
                <w:sz w:val="17"/>
              </w:rPr>
              <w:t>Risk DB</w:t>
            </w:r>
          </w:p>
        </w:tc>
        <w:tc>
          <w:tcPr>
            <w:tcW w:type="dxa" w:w="5040"/>
            <w:vAlign w:val="center"/>
          </w:tcPr>
          <w:p>
            <w:r/>
            <w:r>
              <w:rPr>
                <w:b w:val="0"/>
                <w:sz w:val="17"/>
              </w:rPr>
              <w:t>risk_register, risk_analysis, evaluation/treatment/exception tables plus risk_finding_map and risk_technical_vulnerability_assessment.</w:t>
            </w:r>
          </w:p>
        </w:tc>
      </w:tr>
      <w:tr>
        <w:tc>
          <w:tcPr>
            <w:tcW w:type="dxa" w:w="5040"/>
            <w:vAlign w:val="center"/>
          </w:tcPr>
          <w:p>
            <w:r/>
            <w:r>
              <w:rPr>
                <w:b w:val="0"/>
                <w:sz w:val="17"/>
              </w:rPr>
              <w:t>Asset DB bridge</w:t>
            </w:r>
          </w:p>
        </w:tc>
        <w:tc>
          <w:tcPr>
            <w:tcW w:type="dxa" w:w="5040"/>
            <w:vAlign w:val="center"/>
          </w:tcPr>
          <w:p>
            <w:r/>
            <w:r>
              <w:rPr>
                <w:b w:val="0"/>
                <w:sz w:val="17"/>
              </w:rPr>
              <w:t>asset_vulnerability_findings/history/evidence and integration Asset mapping.</w:t>
            </w:r>
          </w:p>
        </w:tc>
      </w:tr>
      <w:tr>
        <w:tc>
          <w:tcPr>
            <w:tcW w:type="dxa" w:w="5040"/>
            <w:vAlign w:val="center"/>
          </w:tcPr>
          <w:p>
            <w:r/>
            <w:r>
              <w:rPr>
                <w:b w:val="0"/>
                <w:sz w:val="17"/>
              </w:rPr>
              <w:t>Global Intel</w:t>
            </w:r>
          </w:p>
        </w:tc>
        <w:tc>
          <w:tcPr>
            <w:tcW w:type="dxa" w:w="5040"/>
            <w:vAlign w:val="center"/>
          </w:tcPr>
          <w:p>
            <w:r/>
            <w:r>
              <w:rPr>
                <w:b w:val="0"/>
                <w:sz w:val="17"/>
              </w:rPr>
              <w:t>source vulnerability catalogue/CVE mapping for enrichment.</w:t>
            </w:r>
          </w:p>
        </w:tc>
      </w:tr>
      <w:tr>
        <w:tc>
          <w:tcPr>
            <w:tcW w:type="dxa" w:w="5040"/>
            <w:vAlign w:val="center"/>
          </w:tcPr>
          <w:p>
            <w:r/>
            <w:r>
              <w:rPr>
                <w:b w:val="0"/>
                <w:sz w:val="17"/>
              </w:rPr>
              <w:t>Web UI</w:t>
            </w:r>
          </w:p>
        </w:tc>
        <w:tc>
          <w:tcPr>
            <w:tcW w:type="dxa" w:w="5040"/>
            <w:vAlign w:val="center"/>
          </w:tcPr>
          <w:p>
            <w:r/>
            <w:r>
              <w:rPr>
                <w:b w:val="0"/>
                <w:sz w:val="17"/>
              </w:rPr>
              <w:t>Technical Exposure in qualitative Identification; finding details; Asset-originated link/create Risk.</w:t>
            </w:r>
          </w:p>
        </w:tc>
      </w:tr>
      <w:tr>
        <w:tc>
          <w:tcPr>
            <w:tcW w:type="dxa" w:w="5040"/>
            <w:vAlign w:val="center"/>
          </w:tcPr>
          <w:p>
            <w:r/>
            <w:r>
              <w:rPr>
                <w:b w:val="0"/>
                <w:sz w:val="17"/>
              </w:rPr>
              <w:t>Workflow</w:t>
            </w:r>
          </w:p>
        </w:tc>
        <w:tc>
          <w:tcPr>
            <w:tcW w:type="dxa" w:w="5040"/>
            <w:vAlign w:val="center"/>
          </w:tcPr>
          <w:p>
            <w:r/>
            <w:r>
              <w:rPr>
                <w:b w:val="0"/>
                <w:sz w:val="17"/>
              </w:rPr>
              <w:t>Snapshot support on completion and live current evidence on reassessment.</w:t>
            </w:r>
          </w:p>
        </w:tc>
      </w:tr>
    </w:tbl>
    <w:p/>
    <w:p>
      <w:pPr>
        <w:pStyle w:val="Heading1"/>
      </w:pPr>
      <w:r>
        <w:t>33. Deployment and Change Procedure</w:t>
      </w:r>
    </w:p>
    <w:p>
      <w:pPr>
        <w:ind w:left="216"/>
      </w:pPr>
      <w:r>
        <w:rPr>
          <w:b/>
        </w:rPr>
        <w:t xml:space="preserve">1. </w:t>
      </w:r>
      <w:r>
        <w:t>Apply Risk technical-evidence schema migrations before dependent UI/API files.</w:t>
      </w:r>
    </w:p>
    <w:p>
      <w:pPr>
        <w:ind w:left="216"/>
      </w:pPr>
      <w:r>
        <w:rPr>
          <w:b/>
        </w:rPr>
        <w:t xml:space="preserve">2. </w:t>
      </w:r>
      <w:r>
        <w:t>Back up current Risk files and tenant database.</w:t>
      </w:r>
    </w:p>
    <w:p>
      <w:pPr>
        <w:ind w:left="216"/>
      </w:pPr>
      <w:r>
        <w:rPr>
          <w:b/>
        </w:rPr>
        <w:t xml:space="preserve">3. </w:t>
      </w:r>
      <w:r>
        <w:t>Deploy risk_workflow_api, technical_exposure_api and associated JS together when snapshot semantics change.</w:t>
      </w:r>
    </w:p>
    <w:p>
      <w:pPr>
        <w:ind w:left="216"/>
      </w:pPr>
      <w:r>
        <w:rPr>
          <w:b/>
        </w:rPr>
        <w:t xml:space="preserve">4. </w:t>
      </w:r>
      <w:r>
        <w:t>Hard-refresh after JavaScript changes and verify version/cache markers.</w:t>
      </w:r>
    </w:p>
    <w:p>
      <w:pPr>
        <w:ind w:left="216"/>
      </w:pPr>
      <w:r>
        <w:rPr>
          <w:b/>
        </w:rPr>
        <w:t xml:space="preserve">5. </w:t>
      </w:r>
      <w:r>
        <w:t>Run one live link -&gt; factor edit -&gt; completion -&gt; reassessment -&gt; second completion acceptance test.</w:t>
      </w:r>
    </w:p>
    <w:p>
      <w:pPr>
        <w:pStyle w:val="Heading1"/>
      </w:pPr>
      <w:r>
        <w:t>34. Regression Test Suite</w:t>
      </w:r>
    </w:p>
    <w:p>
      <w:pPr>
        <w:pStyle w:val="ListBullet"/>
      </w:pPr>
      <w:r>
        <w:t>All v1.0 Risk creation/CIA/FAIR/treatment/exception/lifecycle tests.</w:t>
      </w:r>
    </w:p>
    <w:p>
      <w:pPr>
        <w:pStyle w:val="ListBullet"/>
      </w:pPr>
      <w:r>
        <w:t>Link grouped Asset findings to active Risk and confirm no source finding mutation.</w:t>
      </w:r>
    </w:p>
    <w:p>
      <w:pPr>
        <w:pStyle w:val="ListBullet"/>
      </w:pPr>
      <w:r>
        <w:t>Reopen Technical Exposure and verify linked/partial/not-linked states.</w:t>
      </w:r>
    </w:p>
    <w:p>
      <w:pPr>
        <w:pStyle w:val="ListBullet"/>
      </w:pPr>
      <w:r>
        <w:t>Finding Details shows provider definition, observation evidence and history.</w:t>
      </w:r>
    </w:p>
    <w:p>
      <w:pPr>
        <w:pStyle w:val="ListBullet"/>
      </w:pPr>
      <w:r>
        <w:t>Technical factor changes update the Identification working scenario and persist.</w:t>
      </w:r>
    </w:p>
    <w:p>
      <w:pPr>
        <w:pStyle w:val="ListBullet"/>
      </w:pPr>
      <w:r>
        <w:t>Complete assessment and verify technical findings/factors are read-only snapshot rows.</w:t>
      </w:r>
    </w:p>
    <w:p>
      <w:pPr>
        <w:pStyle w:val="ListBullet"/>
      </w:pPr>
      <w:r>
        <w:t>Link a new finding after completion, start Reassess Risk and verify current live evidence appears immediately.</w:t>
      </w:r>
    </w:p>
    <w:p>
      <w:pPr>
        <w:pStyle w:val="ListBullet"/>
      </w:pPr>
      <w:r>
        <w:t>Complete reassessment and confirm v1 snapshot remains unchanged while v2 snapshot captures current evidence.</w:t>
      </w:r>
    </w:p>
    <w:p>
      <w:pPr>
        <w:pStyle w:val="Heading1"/>
      </w:pPr>
      <w:r>
        <w:t>35. Troubleshooting Guide</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Symptom</w:t>
            </w:r>
          </w:p>
        </w:tc>
        <w:tc>
          <w:tcPr>
            <w:tcW w:type="dxa" w:w="5040"/>
            <w:shd w:fill="4B2466"/>
            <w:vAlign w:val="center"/>
          </w:tcPr>
          <w:p>
            <w:r/>
            <w:r>
              <w:rPr>
                <w:b/>
                <w:color w:val="FFFFFF"/>
                <w:sz w:val="18"/>
              </w:rPr>
              <w:t>Checks</w:t>
            </w:r>
          </w:p>
        </w:tc>
      </w:tr>
      <w:tr>
        <w:tc>
          <w:tcPr>
            <w:tcW w:type="dxa" w:w="5040"/>
            <w:vAlign w:val="center"/>
          </w:tcPr>
          <w:p>
            <w:r/>
            <w:r>
              <w:rPr>
                <w:b w:val="0"/>
                <w:sz w:val="17"/>
              </w:rPr>
              <w:t>Technical Exposure shows zero during reassessment</w:t>
            </w:r>
          </w:p>
        </w:tc>
        <w:tc>
          <w:tcPr>
            <w:tcW w:type="dxa" w:w="5040"/>
            <w:vAlign w:val="center"/>
          </w:tcPr>
          <w:p>
            <w:r/>
            <w:r>
              <w:rPr>
                <w:b w:val="0"/>
                <w:sz w:val="17"/>
              </w:rPr>
              <w:t>Confirm the UI is in live view, not historical snapshot mode; working analysis_id must not force snapshot reads.</w:t>
            </w:r>
          </w:p>
        </w:tc>
      </w:tr>
      <w:tr>
        <w:tc>
          <w:tcPr>
            <w:tcW w:type="dxa" w:w="5040"/>
            <w:vAlign w:val="center"/>
          </w:tcPr>
          <w:p>
            <w:r/>
            <w:r>
              <w:rPr>
                <w:b w:val="0"/>
                <w:sz w:val="17"/>
              </w:rPr>
              <w:t>Finding linked from Asset but absent in Risk</w:t>
            </w:r>
          </w:p>
        </w:tc>
        <w:tc>
          <w:tcPr>
            <w:tcW w:type="dxa" w:w="5040"/>
            <w:vAlign w:val="center"/>
          </w:tcPr>
          <w:p>
            <w:r/>
            <w:r>
              <w:rPr>
                <w:b w:val="0"/>
                <w:sz w:val="17"/>
              </w:rPr>
              <w:t>Check risk_finding_map live row, Asset match and snapshot_key=0.</w:t>
            </w:r>
          </w:p>
        </w:tc>
      </w:tr>
      <w:tr>
        <w:tc>
          <w:tcPr>
            <w:tcW w:type="dxa" w:w="5040"/>
            <w:vAlign w:val="center"/>
          </w:tcPr>
          <w:p>
            <w:r/>
            <w:r>
              <w:rPr>
                <w:b w:val="0"/>
                <w:sz w:val="17"/>
              </w:rPr>
              <w:t>Completed assessment shows current provider state</w:t>
            </w:r>
          </w:p>
        </w:tc>
        <w:tc>
          <w:tcPr>
            <w:tcW w:type="dxa" w:w="5040"/>
            <w:vAlign w:val="center"/>
          </w:tcPr>
          <w:p>
            <w:r/>
            <w:r>
              <w:rPr>
                <w:b w:val="0"/>
                <w:sz w:val="17"/>
              </w:rPr>
              <w:t>Snapshot support is missing/incorrect; completed view must use analysis snapshot.</w:t>
            </w:r>
          </w:p>
        </w:tc>
      </w:tr>
      <w:tr>
        <w:tc>
          <w:tcPr>
            <w:tcW w:type="dxa" w:w="5040"/>
            <w:vAlign w:val="center"/>
          </w:tcPr>
          <w:p>
            <w:r/>
            <w:r>
              <w:rPr>
                <w:b w:val="0"/>
                <w:sz w:val="17"/>
              </w:rPr>
              <w:t>Risk does not appear in Asset link dialog</w:t>
            </w:r>
          </w:p>
        </w:tc>
        <w:tc>
          <w:tcPr>
            <w:tcW w:type="dxa" w:w="5040"/>
            <w:vAlign w:val="center"/>
          </w:tcPr>
          <w:p>
            <w:r/>
            <w:r>
              <w:rPr>
                <w:b w:val="0"/>
                <w:sz w:val="17"/>
              </w:rPr>
              <w:t>Check active/linkable state, archive/closed/pending exception and same asset_id.</w:t>
            </w:r>
          </w:p>
        </w:tc>
      </w:tr>
      <w:tr>
        <w:tc>
          <w:tcPr>
            <w:tcW w:type="dxa" w:w="5040"/>
            <w:vAlign w:val="center"/>
          </w:tcPr>
          <w:p>
            <w:r/>
            <w:r>
              <w:rPr>
                <w:b w:val="0"/>
                <w:sz w:val="17"/>
              </w:rPr>
              <w:t>Technical group lacks title/details</w:t>
            </w:r>
          </w:p>
        </w:tc>
        <w:tc>
          <w:tcPr>
            <w:tcW w:type="dxa" w:w="5040"/>
            <w:vAlign w:val="center"/>
          </w:tcPr>
          <w:p>
            <w:r/>
            <w:r>
              <w:rPr>
                <w:b w:val="0"/>
                <w:sz w:val="17"/>
              </w:rPr>
              <w:t>Check source_vulnerability_id/provider+external-ID enrichment and intel_core availability.</w:t>
            </w:r>
          </w:p>
        </w:tc>
      </w:tr>
      <w:tr>
        <w:tc>
          <w:tcPr>
            <w:tcW w:type="dxa" w:w="5040"/>
            <w:vAlign w:val="center"/>
          </w:tcPr>
          <w:p>
            <w:r/>
            <w:r>
              <w:rPr>
                <w:b w:val="0"/>
                <w:sz w:val="17"/>
              </w:rPr>
              <w:t>Factor values not editable</w:t>
            </w:r>
          </w:p>
        </w:tc>
        <w:tc>
          <w:tcPr>
            <w:tcW w:type="dxa" w:w="5040"/>
            <w:vAlign w:val="center"/>
          </w:tcPr>
          <w:p>
            <w:r/>
            <w:r>
              <w:rPr>
                <w:b w:val="0"/>
                <w:sz w:val="17"/>
              </w:rPr>
              <w:t>Verify live reassessment and no pending exception/read-only snapshot.</w:t>
            </w:r>
          </w:p>
        </w:tc>
      </w:tr>
    </w:tbl>
    <w:p/>
    <w:p>
      <w:pPr>
        <w:pStyle w:val="Heading1"/>
      </w:pPr>
      <w:r>
        <w:t>36. Known Limitations and Implementation Notes</w:t>
      </w:r>
    </w:p>
    <w:p>
      <w:pPr>
        <w:ind w:left="216"/>
      </w:pPr>
      <w:r>
        <w:rPr>
          <w:b/>
        </w:rPr>
        <w:t xml:space="preserve">1. </w:t>
      </w:r>
      <w:r>
        <w:t>Technical factor model currently belongs to qualitative Identification; FAIR retains its own vulnerability model.</w:t>
      </w:r>
    </w:p>
    <w:p>
      <w:pPr>
        <w:ind w:left="216"/>
      </w:pPr>
      <w:r>
        <w:rPr>
          <w:b/>
        </w:rPr>
        <w:t xml:space="preserve">2. </w:t>
      </w:r>
      <w:r>
        <w:t>Technical finding grouping is provider/source-vulnerability based and may require provider-specific catalogue quality for ideal titles/remediation.</w:t>
      </w:r>
    </w:p>
    <w:p>
      <w:pPr>
        <w:ind w:left="216"/>
      </w:pPr>
      <w:r>
        <w:rPr>
          <w:b/>
        </w:rPr>
        <w:t xml:space="preserve">3. </w:t>
      </w:r>
      <w:r>
        <w:t>Automated Risk candidate generation is not part of the authoritative workflow; future suggestions must remain human-confirmed.</w:t>
      </w:r>
    </w:p>
    <w:p>
      <w:pPr>
        <w:ind w:left="216"/>
      </w:pPr>
      <w:r>
        <w:rPr>
          <w:b/>
        </w:rPr>
        <w:t xml:space="preserve">4. </w:t>
      </w:r>
      <w:r>
        <w:t>One active Risk per Asset remains the current application business rule, which constrains how separate technical scenarios are represented.</w:t>
      </w:r>
    </w:p>
    <w:p>
      <w:pPr>
        <w:ind w:left="216"/>
      </w:pPr>
      <w:r>
        <w:rPr>
          <w:b/>
        </w:rPr>
        <w:t xml:space="preserve">5. </w:t>
      </w:r>
      <w:r>
        <w:t>Historical technical snapshots are assessment evidence, not a replacement for provider-native scan/report retention requirements.</w:t>
      </w:r>
    </w:p>
    <w:p>
      <w:pPr>
        <w:pStyle w:val="Heading1"/>
      </w:pPr>
      <w:r>
        <w:t>37. Maintenance Rules for Future Development</w:t>
      </w:r>
    </w:p>
    <w:p>
      <w:pPr>
        <w:ind w:left="216"/>
      </w:pPr>
      <w:r>
        <w:rPr>
          <w:b/>
        </w:rPr>
        <w:t xml:space="preserve">1. </w:t>
      </w:r>
      <w:r>
        <w:t>Preserve live snapshot_key=0 versus historical analysis snapshot semantics.</w:t>
      </w:r>
    </w:p>
    <w:p>
      <w:pPr>
        <w:ind w:left="216"/>
      </w:pPr>
      <w:r>
        <w:rPr>
          <w:b/>
        </w:rPr>
        <w:t xml:space="preserve">2. </w:t>
      </w:r>
      <w:r>
        <w:t>Never infer snapshot mode merely because a working analysis_id exists.</w:t>
      </w:r>
    </w:p>
    <w:p>
      <w:pPr>
        <w:ind w:left="216"/>
      </w:pPr>
      <w:r>
        <w:rPr>
          <w:b/>
        </w:rPr>
        <w:t xml:space="preserve">3. </w:t>
      </w:r>
      <w:r>
        <w:t>Keep technical evidence links separate from manual vulnerability catalogues.</w:t>
      </w:r>
    </w:p>
    <w:p>
      <w:pPr>
        <w:ind w:left="216"/>
      </w:pPr>
      <w:r>
        <w:rPr>
          <w:b/>
        </w:rPr>
        <w:t xml:space="preserve">4. </w:t>
      </w:r>
      <w:r>
        <w:t>Assess a grouped source vulnerability once; retain individual observations underneath it.</w:t>
      </w:r>
    </w:p>
    <w:p>
      <w:pPr>
        <w:ind w:left="216"/>
      </w:pPr>
      <w:r>
        <w:rPr>
          <w:b/>
        </w:rPr>
        <w:t xml:space="preserve">5. </w:t>
      </w:r>
      <w:r>
        <w:t>Do not automatically convert provider severity/CVSS into business exploitability/control effectiveness/uncertainty.</w:t>
      </w:r>
    </w:p>
    <w:p>
      <w:pPr>
        <w:ind w:left="216"/>
      </w:pPr>
      <w:r>
        <w:rPr>
          <w:b/>
        </w:rPr>
        <w:t xml:space="preserve">6. </w:t>
      </w:r>
      <w:r>
        <w:t>Keep shared finding Details reusable from both Asset and Risk.</w:t>
      </w:r>
    </w:p>
    <w:p>
      <w:pPr>
        <w:ind w:left="216"/>
      </w:pPr>
      <w:r>
        <w:rPr>
          <w:b/>
        </w:rPr>
        <w:t xml:space="preserve">7. </w:t>
      </w:r>
      <w:r>
        <w:t>Update Help Centre, Guide this assessment, first-time handbook and this document when technical exposure or reassessment UX changes.</w:t>
      </w:r>
    </w:p>
    <w:p>
      <w:pPr>
        <w:pStyle w:val="Heading1"/>
      </w:pPr>
      <w:r>
        <w:t>Appendix A. Database Inventory</w:t>
      </w:r>
    </w:p>
    <w:tbl>
      <w:tblPr>
        <w:tblStyle w:val="TableGrid"/>
        <w:tblW w:type="auto" w:w="0"/>
        <w:jc w:val="center"/>
        <w:tblLook w:firstColumn="1" w:firstRow="1" w:lastColumn="0" w:lastRow="0" w:noHBand="0" w:noVBand="1" w:val="04A0"/>
      </w:tblPr>
      <w:tblGrid>
        <w:gridCol w:w="5040"/>
        <w:gridCol w:w="5040"/>
      </w:tblGrid>
      <w:tr>
        <w:tc>
          <w:tcPr>
            <w:tcW w:type="dxa" w:w="5040"/>
            <w:shd w:fill="4B2466"/>
            <w:vAlign w:val="center"/>
          </w:tcPr>
          <w:p>
            <w:r/>
            <w:r>
              <w:rPr>
                <w:b/>
                <w:color w:val="FFFFFF"/>
                <w:sz w:val="18"/>
              </w:rPr>
              <w:t>Table</w:t>
            </w:r>
          </w:p>
        </w:tc>
        <w:tc>
          <w:tcPr>
            <w:tcW w:type="dxa" w:w="5040"/>
            <w:shd w:fill="4B2466"/>
            <w:vAlign w:val="center"/>
          </w:tcPr>
          <w:p>
            <w:r/>
            <w:r>
              <w:rPr>
                <w:b/>
                <w:color w:val="FFFFFF"/>
                <w:sz w:val="18"/>
              </w:rPr>
              <w:t>Role</w:t>
            </w:r>
          </w:p>
        </w:tc>
      </w:tr>
      <w:tr>
        <w:tc>
          <w:tcPr>
            <w:tcW w:type="dxa" w:w="5040"/>
            <w:vAlign w:val="center"/>
          </w:tcPr>
          <w:p>
            <w:r/>
            <w:r>
              <w:rPr>
                <w:b w:val="0"/>
                <w:sz w:val="17"/>
              </w:rPr>
              <w:t>risk_register</w:t>
            </w:r>
          </w:p>
        </w:tc>
        <w:tc>
          <w:tcPr>
            <w:tcW w:type="dxa" w:w="5040"/>
            <w:vAlign w:val="center"/>
          </w:tcPr>
          <w:p>
            <w:r/>
            <w:r>
              <w:rPr>
                <w:b w:val="0"/>
                <w:sz w:val="17"/>
              </w:rPr>
              <w:t>Top-level Risk identity/lifecycle</w:t>
            </w:r>
          </w:p>
        </w:tc>
      </w:tr>
      <w:tr>
        <w:tc>
          <w:tcPr>
            <w:tcW w:type="dxa" w:w="5040"/>
            <w:vAlign w:val="center"/>
          </w:tcPr>
          <w:p>
            <w:r/>
            <w:r>
              <w:rPr>
                <w:b w:val="0"/>
                <w:sz w:val="17"/>
              </w:rPr>
              <w:t>risk_analysis</w:t>
            </w:r>
          </w:p>
        </w:tc>
        <w:tc>
          <w:tcPr>
            <w:tcW w:type="dxa" w:w="5040"/>
            <w:vAlign w:val="center"/>
          </w:tcPr>
          <w:p>
            <w:r/>
            <w:r>
              <w:rPr>
                <w:b w:val="0"/>
                <w:sz w:val="17"/>
              </w:rPr>
              <w:t>Versioned qualitative assessment</w:t>
            </w:r>
          </w:p>
        </w:tc>
      </w:tr>
      <w:tr>
        <w:tc>
          <w:tcPr>
            <w:tcW w:type="dxa" w:w="5040"/>
            <w:vAlign w:val="center"/>
          </w:tcPr>
          <w:p>
            <w:r/>
            <w:r>
              <w:rPr>
                <w:b w:val="0"/>
                <w:sz w:val="17"/>
              </w:rPr>
              <w:t>risk_finding_map</w:t>
            </w:r>
          </w:p>
        </w:tc>
        <w:tc>
          <w:tcPr>
            <w:tcW w:type="dxa" w:w="5040"/>
            <w:vAlign w:val="center"/>
          </w:tcPr>
          <w:p>
            <w:r/>
            <w:r>
              <w:rPr>
                <w:b w:val="0"/>
                <w:sz w:val="17"/>
              </w:rPr>
              <w:t>Risk-to-technical-finding live/snapshot relationships</w:t>
            </w:r>
          </w:p>
        </w:tc>
      </w:tr>
      <w:tr>
        <w:tc>
          <w:tcPr>
            <w:tcW w:type="dxa" w:w="5040"/>
            <w:vAlign w:val="center"/>
          </w:tcPr>
          <w:p>
            <w:r/>
            <w:r>
              <w:rPr>
                <w:b w:val="0"/>
                <w:sz w:val="17"/>
              </w:rPr>
              <w:t>risk_technical_vulnerability_assessment</w:t>
            </w:r>
          </w:p>
        </w:tc>
        <w:tc>
          <w:tcPr>
            <w:tcW w:type="dxa" w:w="5040"/>
            <w:vAlign w:val="center"/>
          </w:tcPr>
          <w:p>
            <w:r/>
            <w:r>
              <w:rPr>
                <w:b w:val="0"/>
                <w:sz w:val="17"/>
              </w:rPr>
              <w:t>Grouped technical vulnerability factor values and snapshots</w:t>
            </w:r>
          </w:p>
        </w:tc>
      </w:tr>
      <w:tr>
        <w:tc>
          <w:tcPr>
            <w:tcW w:type="dxa" w:w="5040"/>
            <w:vAlign w:val="center"/>
          </w:tcPr>
          <w:p>
            <w:r/>
            <w:r>
              <w:rPr>
                <w:b w:val="0"/>
                <w:sz w:val="17"/>
              </w:rPr>
              <w:t>risk_vuln_map</w:t>
            </w:r>
          </w:p>
        </w:tc>
        <w:tc>
          <w:tcPr>
            <w:tcW w:type="dxa" w:w="5040"/>
            <w:vAlign w:val="center"/>
          </w:tcPr>
          <w:p>
            <w:r/>
            <w:r>
              <w:rPr>
                <w:b w:val="0"/>
                <w:sz w:val="17"/>
              </w:rPr>
              <w:t>Manual/canonical vulnerability relationships</w:t>
            </w:r>
          </w:p>
        </w:tc>
      </w:tr>
      <w:tr>
        <w:tc>
          <w:tcPr>
            <w:tcW w:type="dxa" w:w="5040"/>
            <w:vAlign w:val="center"/>
          </w:tcPr>
          <w:p>
            <w:r/>
            <w:r>
              <w:rPr>
                <w:b w:val="0"/>
                <w:sz w:val="17"/>
              </w:rPr>
              <w:t>risk_othervuln_map</w:t>
            </w:r>
          </w:p>
        </w:tc>
        <w:tc>
          <w:tcPr>
            <w:tcW w:type="dxa" w:w="5040"/>
            <w:vAlign w:val="center"/>
          </w:tcPr>
          <w:p>
            <w:r/>
            <w:r>
              <w:rPr>
                <w:b w:val="0"/>
                <w:sz w:val="17"/>
              </w:rPr>
              <w:t>Manual other weakness/cause relationships</w:t>
            </w:r>
          </w:p>
        </w:tc>
      </w:tr>
      <w:tr>
        <w:tc>
          <w:tcPr>
            <w:tcW w:type="dxa" w:w="5040"/>
            <w:vAlign w:val="center"/>
          </w:tcPr>
          <w:p>
            <w:r/>
            <w:r>
              <w:rPr>
                <w:b w:val="0"/>
                <w:sz w:val="17"/>
              </w:rPr>
              <w:t>risk_threat_map / risk_threatpreset_map</w:t>
            </w:r>
          </w:p>
        </w:tc>
        <w:tc>
          <w:tcPr>
            <w:tcW w:type="dxa" w:w="5040"/>
            <w:vAlign w:val="center"/>
          </w:tcPr>
          <w:p>
            <w:r/>
            <w:r>
              <w:rPr>
                <w:b w:val="0"/>
                <w:sz w:val="17"/>
              </w:rPr>
              <w:t>Threat relationships</w:t>
            </w:r>
          </w:p>
        </w:tc>
      </w:tr>
      <w:tr>
        <w:tc>
          <w:tcPr>
            <w:tcW w:type="dxa" w:w="5040"/>
            <w:vAlign w:val="center"/>
          </w:tcPr>
          <w:p>
            <w:r/>
            <w:r>
              <w:rPr>
                <w:b w:val="0"/>
                <w:sz w:val="17"/>
              </w:rPr>
              <w:t>risk_evaluation</w:t>
            </w:r>
          </w:p>
        </w:tc>
        <w:tc>
          <w:tcPr>
            <w:tcW w:type="dxa" w:w="5040"/>
            <w:vAlign w:val="center"/>
          </w:tcPr>
          <w:p>
            <w:r/>
            <w:r>
              <w:rPr>
                <w:b w:val="0"/>
                <w:sz w:val="17"/>
              </w:rPr>
              <w:t>Governance decision</w:t>
            </w:r>
          </w:p>
        </w:tc>
      </w:tr>
      <w:tr>
        <w:tc>
          <w:tcPr>
            <w:tcW w:type="dxa" w:w="5040"/>
            <w:vAlign w:val="center"/>
          </w:tcPr>
          <w:p>
            <w:r/>
            <w:r>
              <w:rPr>
                <w:b w:val="0"/>
                <w:sz w:val="17"/>
              </w:rPr>
              <w:t>risk_treatment / actions / evidence</w:t>
            </w:r>
          </w:p>
        </w:tc>
        <w:tc>
          <w:tcPr>
            <w:tcW w:type="dxa" w:w="5040"/>
            <w:vAlign w:val="center"/>
          </w:tcPr>
          <w:p>
            <w:r/>
            <w:r>
              <w:rPr>
                <w:b w:val="0"/>
                <w:sz w:val="17"/>
              </w:rPr>
              <w:t>Treatment hierarchy and snapshots</w:t>
            </w:r>
          </w:p>
        </w:tc>
      </w:tr>
      <w:tr>
        <w:tc>
          <w:tcPr>
            <w:tcW w:type="dxa" w:w="5040"/>
            <w:vAlign w:val="center"/>
          </w:tcPr>
          <w:p>
            <w:r/>
            <w:r>
              <w:rPr>
                <w:b w:val="0"/>
                <w:sz w:val="17"/>
              </w:rPr>
              <w:t>risk_exception / history</w:t>
            </w:r>
          </w:p>
        </w:tc>
        <w:tc>
          <w:tcPr>
            <w:tcW w:type="dxa" w:w="5040"/>
            <w:vAlign w:val="center"/>
          </w:tcPr>
          <w:p>
            <w:r/>
            <w:r>
              <w:rPr>
                <w:b w:val="0"/>
                <w:sz w:val="17"/>
              </w:rPr>
              <w:t>Exception governance</w:t>
            </w:r>
          </w:p>
        </w:tc>
      </w:tr>
    </w:tbl>
    <w:p/>
    <w:p>
      <w:pPr>
        <w:pStyle w:val="Heading1"/>
      </w:pPr>
      <w:r>
        <w:t>Appendix B. Endpoint and Permission Matrix</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4B2466"/>
            <w:vAlign w:val="center"/>
          </w:tcPr>
          <w:p>
            <w:r/>
            <w:r>
              <w:rPr>
                <w:b/>
                <w:color w:val="FFFFFF"/>
                <w:sz w:val="18"/>
              </w:rPr>
              <w:t>Endpoint</w:t>
            </w:r>
          </w:p>
        </w:tc>
        <w:tc>
          <w:tcPr>
            <w:tcW w:type="dxa" w:w="3360"/>
            <w:shd w:fill="4B2466"/>
            <w:vAlign w:val="center"/>
          </w:tcPr>
          <w:p>
            <w:r/>
            <w:r>
              <w:rPr>
                <w:b/>
                <w:color w:val="FFFFFF"/>
                <w:sz w:val="18"/>
              </w:rPr>
              <w:t>Mode</w:t>
            </w:r>
          </w:p>
        </w:tc>
        <w:tc>
          <w:tcPr>
            <w:tcW w:type="dxa" w:w="3360"/>
            <w:shd w:fill="4B2466"/>
            <w:vAlign w:val="center"/>
          </w:tcPr>
          <w:p>
            <w:r/>
            <w:r>
              <w:rPr>
                <w:b/>
                <w:color w:val="FFFFFF"/>
                <w:sz w:val="18"/>
              </w:rPr>
              <w:t>Guard / purpose</w:t>
            </w:r>
          </w:p>
        </w:tc>
      </w:tr>
      <w:tr>
        <w:tc>
          <w:tcPr>
            <w:tcW w:type="dxa" w:w="3360"/>
            <w:vAlign w:val="center"/>
          </w:tcPr>
          <w:p>
            <w:r/>
            <w:r>
              <w:rPr>
                <w:b w:val="0"/>
                <w:sz w:val="17"/>
              </w:rPr>
              <w:t>risk_register.php</w:t>
            </w:r>
          </w:p>
        </w:tc>
        <w:tc>
          <w:tcPr>
            <w:tcW w:type="dxa" w:w="3360"/>
            <w:vAlign w:val="center"/>
          </w:tcPr>
          <w:p>
            <w:r/>
            <w:r>
              <w:rPr>
                <w:b w:val="0"/>
                <w:sz w:val="17"/>
              </w:rPr>
              <w:t>Page</w:t>
            </w:r>
          </w:p>
        </w:tc>
        <w:tc>
          <w:tcPr>
            <w:tcW w:type="dxa" w:w="3360"/>
            <w:vAlign w:val="center"/>
          </w:tcPr>
          <w:p>
            <w:r/>
            <w:r>
              <w:rPr>
                <w:b w:val="0"/>
                <w:sz w:val="17"/>
              </w:rPr>
              <w:t>Risk register and assessment shell</w:t>
            </w:r>
          </w:p>
        </w:tc>
      </w:tr>
      <w:tr>
        <w:tc>
          <w:tcPr>
            <w:tcW w:type="dxa" w:w="3360"/>
            <w:vAlign w:val="center"/>
          </w:tcPr>
          <w:p>
            <w:r/>
            <w:r>
              <w:rPr>
                <w:b w:val="0"/>
                <w:sz w:val="17"/>
              </w:rPr>
              <w:t>risk_workflow_api.php</w:t>
            </w:r>
          </w:p>
        </w:tc>
        <w:tc>
          <w:tcPr>
            <w:tcW w:type="dxa" w:w="3360"/>
            <w:vAlign w:val="center"/>
          </w:tcPr>
          <w:p>
            <w:r/>
            <w:r>
              <w:rPr>
                <w:b w:val="0"/>
                <w:sz w:val="17"/>
              </w:rPr>
              <w:t>Read/write</w:t>
            </w:r>
          </w:p>
        </w:tc>
        <w:tc>
          <w:tcPr>
            <w:tcW w:type="dxa" w:w="3360"/>
            <w:vAlign w:val="center"/>
          </w:tcPr>
          <w:p>
            <w:r/>
            <w:r>
              <w:rPr>
                <w:b w:val="0"/>
                <w:sz w:val="17"/>
              </w:rPr>
              <w:t>risk.view/risk.write + CSRF; drafts/reassessment/completion/snapshots</w:t>
            </w:r>
          </w:p>
        </w:tc>
      </w:tr>
      <w:tr>
        <w:tc>
          <w:tcPr>
            <w:tcW w:type="dxa" w:w="3360"/>
            <w:vAlign w:val="center"/>
          </w:tcPr>
          <w:p>
            <w:r/>
            <w:r>
              <w:rPr>
                <w:b w:val="0"/>
                <w:sz w:val="17"/>
              </w:rPr>
              <w:t>technical_exposure_api.php</w:t>
            </w:r>
          </w:p>
        </w:tc>
        <w:tc>
          <w:tcPr>
            <w:tcW w:type="dxa" w:w="3360"/>
            <w:vAlign w:val="center"/>
          </w:tcPr>
          <w:p>
            <w:r/>
            <w:r>
              <w:rPr>
                <w:b w:val="0"/>
                <w:sz w:val="17"/>
              </w:rPr>
              <w:t>Read/write</w:t>
            </w:r>
          </w:p>
        </w:tc>
        <w:tc>
          <w:tcPr>
            <w:tcW w:type="dxa" w:w="3360"/>
            <w:vAlign w:val="center"/>
          </w:tcPr>
          <w:p>
            <w:r/>
            <w:r>
              <w:rPr>
                <w:b w:val="0"/>
                <w:sz w:val="17"/>
              </w:rPr>
              <w:t>risk.view/risk.write + CSRF; list/link/unlink/factors/snapshots</w:t>
            </w:r>
          </w:p>
        </w:tc>
      </w:tr>
      <w:tr>
        <w:tc>
          <w:tcPr>
            <w:tcW w:type="dxa" w:w="3360"/>
            <w:vAlign w:val="center"/>
          </w:tcPr>
          <w:p>
            <w:r/>
            <w:r>
              <w:rPr>
                <w:b w:val="0"/>
                <w:sz w:val="17"/>
              </w:rPr>
              <w:t>fair_scenarios_api.php</w:t>
            </w:r>
          </w:p>
        </w:tc>
        <w:tc>
          <w:tcPr>
            <w:tcW w:type="dxa" w:w="3360"/>
            <w:vAlign w:val="center"/>
          </w:tcPr>
          <w:p>
            <w:r/>
            <w:r>
              <w:rPr>
                <w:b w:val="0"/>
                <w:sz w:val="17"/>
              </w:rPr>
              <w:t>Read/write</w:t>
            </w:r>
          </w:p>
        </w:tc>
        <w:tc>
          <w:tcPr>
            <w:tcW w:type="dxa" w:w="3360"/>
            <w:vAlign w:val="center"/>
          </w:tcPr>
          <w:p>
            <w:r/>
            <w:r>
              <w:rPr>
                <w:b w:val="0"/>
                <w:sz w:val="17"/>
              </w:rPr>
              <w:t>FAIR scenario workflow</w:t>
            </w:r>
          </w:p>
        </w:tc>
      </w:tr>
      <w:tr>
        <w:tc>
          <w:tcPr>
            <w:tcW w:type="dxa" w:w="3360"/>
            <w:vAlign w:val="center"/>
          </w:tcPr>
          <w:p>
            <w:r/>
            <w:r>
              <w:rPr>
                <w:b w:val="0"/>
                <w:sz w:val="17"/>
              </w:rPr>
              <w:t>risk_lifecycle_api.php</w:t>
            </w:r>
          </w:p>
        </w:tc>
        <w:tc>
          <w:tcPr>
            <w:tcW w:type="dxa" w:w="3360"/>
            <w:vAlign w:val="center"/>
          </w:tcPr>
          <w:p>
            <w:r/>
            <w:r>
              <w:rPr>
                <w:b w:val="0"/>
                <w:sz w:val="17"/>
              </w:rPr>
              <w:t>Write</w:t>
            </w:r>
          </w:p>
        </w:tc>
        <w:tc>
          <w:tcPr>
            <w:tcW w:type="dxa" w:w="3360"/>
            <w:vAlign w:val="center"/>
          </w:tcPr>
          <w:p>
            <w:r/>
            <w:r>
              <w:rPr>
                <w:b w:val="0"/>
                <w:sz w:val="17"/>
              </w:rPr>
              <w:t>risk.manage; close/archive/unarchive</w:t>
            </w:r>
          </w:p>
        </w:tc>
      </w:tr>
      <w:tr>
        <w:tc>
          <w:tcPr>
            <w:tcW w:type="dxa" w:w="3360"/>
            <w:vAlign w:val="center"/>
          </w:tcPr>
          <w:p>
            <w:r/>
            <w:r>
              <w:rPr>
                <w:b w:val="0"/>
                <w:sz w:val="17"/>
              </w:rPr>
              <w:t>asset get_finding_detail.php</w:t>
            </w:r>
          </w:p>
        </w:tc>
        <w:tc>
          <w:tcPr>
            <w:tcW w:type="dxa" w:w="3360"/>
            <w:vAlign w:val="center"/>
          </w:tcPr>
          <w:p>
            <w:r/>
            <w:r>
              <w:rPr>
                <w:b w:val="0"/>
                <w:sz w:val="17"/>
              </w:rPr>
              <w:t>Read bridge</w:t>
            </w:r>
          </w:p>
        </w:tc>
        <w:tc>
          <w:tcPr>
            <w:tcW w:type="dxa" w:w="3360"/>
            <w:vAlign w:val="center"/>
          </w:tcPr>
          <w:p>
            <w:r/>
            <w:r>
              <w:rPr>
                <w:b w:val="0"/>
                <w:sz w:val="17"/>
              </w:rPr>
              <w:t>Shared provider-neutral technical finding detail</w:t>
            </w:r>
          </w:p>
        </w:tc>
      </w:tr>
    </w:tbl>
    <w:p/>
    <w:p>
      <w:pPr>
        <w:pStyle w:val="Heading1"/>
      </w:pPr>
      <w:r>
        <w:t>Appendix C. Technical Evidence State Model</w:t>
      </w:r>
    </w:p>
    <w:p>
      <w:pPr>
        <w:pStyle w:val="PWCode"/>
      </w:pPr>
      <w:r>
        <w:rPr>
          <w:rFonts w:ascii="Consolas" w:hAnsi="Consolas"/>
          <w:sz w:val="16"/>
        </w:rPr>
        <w:t>Provider finding: open/resolved/reopened/suppressed</w:t>
        <w:br/>
        <w:t>Risk live link: risk_finding_map snapshot_key=0 active=1</w:t>
        <w:br/>
        <w:t>Risk live factor: grouped assessment snapshot_key=0</w:t>
        <w:br/>
        <w:t>Completion: copy relationship + factor state to snapshot_key=analysis_id</w:t>
        <w:br/>
        <w:t>Reassessment: new editable analysis reads current live links/factors; old snapshot unchanged</w:t>
      </w:r>
    </w:p>
    <w:p>
      <w:pPr>
        <w:pStyle w:val="Heading1"/>
      </w:pPr>
      <w:r>
        <w:t>Appendix D. Definition of Done for Risk Management v2.0</w:t>
      </w:r>
    </w:p>
    <w:p>
      <w:pPr>
        <w:pStyle w:val="ListBullet"/>
      </w:pPr>
      <w:r>
        <w:t>v1 Risk regression suite passes.</w:t>
      </w:r>
    </w:p>
    <w:p>
      <w:pPr>
        <w:pStyle w:val="ListBullet"/>
      </w:pPr>
      <w:r>
        <w:t>Technical findings can be linked/unlinked without source mutation.</w:t>
      </w:r>
    </w:p>
    <w:p>
      <w:pPr>
        <w:pStyle w:val="ListBullet"/>
      </w:pPr>
      <w:r>
        <w:t>Grouped technical factors persist and affect live Identification working scenario.</w:t>
      </w:r>
    </w:p>
    <w:p>
      <w:pPr>
        <w:pStyle w:val="ListBullet"/>
      </w:pPr>
      <w:r>
        <w:t>Completed assessment freezes technical evidence/factors.</w:t>
      </w:r>
    </w:p>
    <w:p>
      <w:pPr>
        <w:pStyle w:val="ListBullet"/>
      </w:pPr>
      <w:r>
        <w:t>Reassessment shows current live technical evidence, not the previous snapshot.</w:t>
      </w:r>
    </w:p>
    <w:p>
      <w:pPr>
        <w:pStyle w:val="ListBullet"/>
      </w:pPr>
      <w:r>
        <w:t>Historical snapshots remain unchanged after provider state changes.</w:t>
      </w:r>
    </w:p>
    <w:p>
      <w:pPr>
        <w:pStyle w:val="ListBullet"/>
      </w:pPr>
      <w:r>
        <w:t>Asset-originated link/create Risk path respects Risk lifecycle/governance constraints.</w:t>
      </w:r>
    </w:p>
    <w:p>
      <w:pPr>
        <w:pStyle w:val="ListBullet"/>
      </w:pPr>
      <w:r>
        <w:t>Guide this assessment and Help Centre match the deployed workflow.</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787878"/>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left"/>
    </w:pPr>
    <w:r>
      <w:rPr>
        <w:color w:val="5A3E78"/>
        <w:sz w:val="17"/>
      </w:rPr>
      <w:t>PurpleWASP  |  Risk Management Technical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3D235F"/>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5A3E78"/>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5A3E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3D235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pPr>
    <w:rPr>
      <w:rFonts w:asciiTheme="majorHAnsi" w:eastAsiaTheme="majorEastAsia" w:hAnsiTheme="majorHAnsi" w:cstheme="majorBidi" w:ascii="Aptos" w:hAnsi="Aptos"/>
      <w:b w:val="0"/>
      <w:i/>
      <w:iCs/>
      <w:color w:val="6666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60" w:after="100" w:line="240" w:lineRule="auto"/>
      <w:ind w:left="317" w:right="173"/>
      <w:shd w:fill="F4F1F8"/>
      <w:pBdr>
        <w:left w:val="single" w:sz="18" w:space="6" w:color="7A5AA6"/>
      </w:pBdr>
    </w:pPr>
    <w:rPr>
      <w:rFonts w:ascii="Consolas" w:hAnsi="Consolas"/>
      <w:sz w:val="16"/>
    </w:rPr>
  </w:style>
  <w:style w:type="paragraph" w:customStyle="1" w:styleId="PWCode">
    <w:name w:val="PW Code"/>
    <w:pPr>
      <w:spacing w:before="80" w:after="80"/>
      <w:ind w:left="259"/>
    </w:pPr>
    <w:rPr>
      <w:rFonts w:ascii="Consolas" w:hAnsi="Consolas"/>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PurpleWASP Risk Management Technical Documentation</dc:title>
  <dc:subject>Architecture, CIA and FAIR assessment, treatment, exceptions, Risk Graph, PurpAI, security and operations reference</dc:subject>
  <dc:creator>PurpleWASP</dc:creator>
  <cp:keywords>PurpleWASP, Risk Management, CIA, FAIR, GRC, risk treatment, risk exceptions</cp:keywords>
  <dc:description>Version 1.0 - generated from the supplied PurpleWASP implementation and schema evidence.</dc:description>
  <cp:lastModifiedBy/>
  <cp:revision>1</cp:revision>
  <dcterms:created xsi:type="dcterms:W3CDTF">2013-12-23T23:15:00Z</dcterms:created>
  <dcterms:modified xsi:type="dcterms:W3CDTF">2013-12-23T23:15:00Z</dcterms:modified>
  <cp:category/>
</cp:coreProperties>
</file>