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4B0983"/>
          <w:sz w:val="24"/>
        </w:rPr>
        <w:t>PURPLEWASP</w:t>
      </w:r>
    </w:p>
    <w:p>
      <w:pPr>
        <w:pStyle w:val="Title"/>
        <w:spacing w:after="100"/>
      </w:pPr>
      <w:r>
        <w:t>Integration Provider Development Guide</w:t>
      </w:r>
    </w:p>
    <w:p>
      <w:pPr>
        <w:spacing w:after="280"/>
      </w:pPr>
      <w:r>
        <w:rPr>
          <w:color w:val="2E203C"/>
          <w:sz w:val="26"/>
        </w:rPr>
        <w:t>Engineering conventions for adding new PurpleWASP providers and capabilities without breaking the shared integration architecture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2EA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2E203C"/>
              </w:rPr>
              <w:t>Audience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</w:pPr>
            <w:r>
              <w:t>PurpleWASP developers, architects, implementation partners and code reviewers</w:t>
            </w:r>
          </w:p>
        </w:tc>
      </w:tr>
      <w:tr>
        <w:tc>
          <w:tcPr>
            <w:tcW w:type="dxa" w:w="4939"/>
            <w:shd w:fill="F2EA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2E203C"/>
              </w:rPr>
              <w:t>Baseline date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4 October 2026</w:t>
            </w:r>
          </w:p>
        </w:tc>
      </w:tr>
      <w:tr>
        <w:tc>
          <w:tcPr>
            <w:tcW w:type="dxa" w:w="4939"/>
            <w:shd w:fill="F2EA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2E203C"/>
              </w:rPr>
              <w:t>Status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</w:pPr>
            <w:r>
              <w:t>Current documentation baseline</w:t>
            </w:r>
          </w:p>
        </w:tc>
      </w:tr>
      <w:tr>
        <w:tc>
          <w:tcPr>
            <w:tcW w:type="dxa" w:w="4939"/>
            <w:shd w:fill="F2EAF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2E203C"/>
              </w:rPr>
              <w:t>Product scope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</w:pPr>
            <w:r>
              <w:t>Integration Management provider/capability framework and downstream Asset/Control consumers</w:t>
            </w:r>
          </w:p>
        </w:tc>
      </w:tr>
    </w:tbl>
    <w:p/>
    <w:p>
      <w:pPr>
        <w:pStyle w:val="PWSmall"/>
        <w:spacing w:after="240"/>
      </w:pPr>
      <w:r>
        <w:t>This document describes the PurpleWASP implementation baseline completed on 4 October 2026. Microsoft is now the reference multi-capability provider: one shared connection, independently enabled capability rows, capability-specific readiness and a common worker/scheduler runtime. Provider APIs, permissions and licensing can change; validate vendor-specific prerequisites before each new deployment or capability expansion.</w:t>
      </w:r>
    </w:p>
    <w:p>
      <w:pPr>
        <w:pStyle w:val="Heading1"/>
        <w:keepNext/>
      </w:pPr>
      <w:r>
        <w:t>Document map</w:t>
      </w:r>
    </w:p>
    <w:p>
      <w:pPr>
        <w:spacing w:after="20"/>
      </w:pPr>
      <w:r>
        <w:t>1. Purpose and design rules</w:t>
      </w:r>
    </w:p>
    <w:p>
      <w:pPr>
        <w:spacing w:after="20"/>
      </w:pPr>
      <w:r>
        <w:t>2. Choose provider versus capability</w:t>
      </w:r>
    </w:p>
    <w:p>
      <w:pPr>
        <w:spacing w:after="20"/>
      </w:pPr>
      <w:r>
        <w:t>3. Define capability contract</w:t>
      </w:r>
    </w:p>
    <w:p>
      <w:pPr>
        <w:spacing w:after="20"/>
      </w:pPr>
      <w:r>
        <w:t>4. Database/catalog seeding</w:t>
      </w:r>
    </w:p>
    <w:p>
      <w:pPr>
        <w:spacing w:after="20"/>
      </w:pPr>
      <w:r>
        <w:t>5. Connection and credential components</w:t>
      </w:r>
    </w:p>
    <w:p>
      <w:pPr>
        <w:spacing w:after="20"/>
      </w:pPr>
      <w:r>
        <w:t>6. Connection testing and availability semantics</w:t>
      </w:r>
    </w:p>
    <w:p>
      <w:pPr>
        <w:spacing w:after="20"/>
      </w:pPr>
      <w:r>
        <w:t>7. Collector and observation design</w:t>
      </w:r>
    </w:p>
    <w:p>
      <w:pPr>
        <w:spacing w:after="20"/>
      </w:pPr>
      <w:r>
        <w:t>8. Jobs, runs, metrics and sync state</w:t>
      </w:r>
    </w:p>
    <w:p>
      <w:pPr>
        <w:spacing w:after="20"/>
      </w:pPr>
      <w:r>
        <w:t>9. Consumer hand-off patterns</w:t>
      </w:r>
    </w:p>
    <w:p>
      <w:pPr>
        <w:spacing w:after="20"/>
      </w:pPr>
      <w:r>
        <w:t>10. Control automation rules and mappings</w:t>
      </w:r>
    </w:p>
    <w:p>
      <w:pPr>
        <w:spacing w:after="20"/>
      </w:pPr>
      <w:r>
        <w:t>11. Security and error handling</w:t>
      </w:r>
    </w:p>
    <w:p>
      <w:pPr>
        <w:spacing w:after="20"/>
      </w:pPr>
      <w:r>
        <w:t>12. Testing and release checklist</w:t>
      </w:r>
    </w:p>
    <w:p>
      <w:pPr>
        <w:spacing w:after="20"/>
      </w:pPr>
      <w:r>
        <w:t>13. Microsoft capability implementation pattern</w:t>
      </w:r>
    </w:p>
    <w:p>
      <w:pPr>
        <w:spacing w:after="20"/>
      </w:pPr>
      <w:r>
        <w:t>14. AWS design baseline</w:t>
      </w:r>
    </w:p>
    <w:p/>
    <w:p>
      <w:pPr>
        <w:pStyle w:val="Heading1"/>
        <w:keepNext/>
      </w:pPr>
      <w:r>
        <w:t>1. Purpose and design rules</w:t>
      </w:r>
    </w:p>
    <w:p>
      <w:pPr>
        <w:pStyle w:val="ListBullet"/>
        <w:spacing w:after="40"/>
      </w:pPr>
      <w:r>
        <w:t>Integrations collect provider facts once; downstream modules consume them according to domain responsibility.</w:t>
      </w:r>
    </w:p>
    <w:p>
      <w:pPr>
        <w:pStyle w:val="ListBullet"/>
        <w:spacing w:after="40"/>
      </w:pPr>
      <w:r>
        <w:t>Provider credentials and runtime orchestration stay in Integration Management.</w:t>
      </w:r>
    </w:p>
    <w:p>
      <w:pPr>
        <w:pStyle w:val="ListBullet"/>
        <w:spacing w:after="40"/>
      </w:pPr>
      <w:r>
        <w:t>A provider connector must not silently mutate Control implementation status or framework conclusions.</w:t>
      </w:r>
    </w:p>
    <w:p>
      <w:pPr>
        <w:pStyle w:val="ListBullet"/>
        <w:spacing w:after="40"/>
      </w:pPr>
      <w:r>
        <w:t>Normalize observations before evaluation so provider collection and Control logic remain separable/testable.</w:t>
      </w:r>
    </w:p>
    <w:p>
      <w:pPr>
        <w:pStyle w:val="ListBullet"/>
        <w:spacing w:after="40"/>
      </w:pPr>
      <w:r>
        <w:t>Prefer additive capabilities over duplicated providers when the external platform/account boundary is shared.</w:t>
      </w:r>
    </w:p>
    <w:p>
      <w:pPr>
        <w:pStyle w:val="Heading1"/>
        <w:keepNext/>
      </w:pPr>
      <w:r>
        <w:t>2. Choose provider versus capability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rPr>
          <w:tblHeader w:val="true"/>
        </w:trPr>
        <w:tc>
          <w:tcPr>
            <w:tcW w:type="dxa" w:w="3293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293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Provider</w:t>
            </w:r>
          </w:p>
        </w:tc>
        <w:tc>
          <w:tcPr>
            <w:tcW w:type="dxa" w:w="3293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Capability</w:t>
            </w:r>
          </w:p>
        </w:tc>
      </w:tr>
      <w:tr>
        <w:trPr>
          <w:cantSplit/>
        </w:trPr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What does it represent?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External platform/account/tenant connection boundary.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Runnable data/evidence domain under that provider.</w:t>
            </w:r>
          </w:p>
        </w:tc>
      </w:tr>
      <w:tr>
        <w:trPr>
          <w:cantSplit/>
        </w:trPr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Credentials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Usually shared at provider connection level.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May require additional permission/scope but should reuse connection where appropriate.</w:t>
            </w:r>
          </w:p>
        </w:tc>
      </w:tr>
      <w:tr>
        <w:trPr>
          <w:cantSplit/>
        </w:trPr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Example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microsoft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microsoft.entra_identity, microsoft.m365_security, microsoft.intune_devices, microsoft.defender_endpoint, microsoft.azure_resources.</w:t>
            </w:r>
          </w:p>
        </w:tc>
      </w:tr>
      <w:tr>
        <w:trPr>
          <w:cantSplit/>
        </w:trPr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Example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qualys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qualys.vulnerability_findings.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2EAF8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t>Microsoft rule Do not add entra, intune, mde or azure as separate top-level providers. They are capabilities under one Microsoft tenant connection. Preserve each capability’s independent is_enabled state and readiness semantics.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3. Define capability contract</w:t>
      </w:r>
    </w:p>
    <w:p>
      <w:pPr>
        <w:spacing w:after="100"/>
      </w:pPr>
      <w:r>
        <w:t>Before coding, write a short capability contract that answers the following:</w:t>
      </w:r>
    </w:p>
    <w:p>
      <w:pPr>
        <w:pStyle w:val="ListBullet"/>
        <w:spacing w:after="40"/>
      </w:pPr>
      <w:r>
        <w:t>Capability key and display name.</w:t>
      </w:r>
    </w:p>
    <w:p>
      <w:pPr>
        <w:pStyle w:val="ListBullet"/>
        <w:spacing w:after="40"/>
      </w:pPr>
      <w:r>
        <w:t>Provider prerequisites and licensing assumptions.</w:t>
      </w:r>
    </w:p>
    <w:p>
      <w:pPr>
        <w:pStyle w:val="ListBullet"/>
        <w:spacing w:after="40"/>
      </w:pPr>
      <w:r>
        <w:t>Required permissions/endpoints versus optional permissions/endpoints.</w:t>
      </w:r>
    </w:p>
    <w:p>
      <w:pPr>
        <w:pStyle w:val="ListBullet"/>
        <w:spacing w:after="40"/>
      </w:pPr>
      <w:r>
        <w:t>Collection streams and observation types.</w:t>
      </w:r>
    </w:p>
    <w:p>
      <w:pPr>
        <w:pStyle w:val="ListBullet"/>
        <w:spacing w:after="40"/>
      </w:pPr>
      <w:r>
        <w:t>Incremental watermark/sync-state needs.</w:t>
      </w:r>
    </w:p>
    <w:p>
      <w:pPr>
        <w:pStyle w:val="ListBullet"/>
        <w:spacing w:after="40"/>
      </w:pPr>
      <w:r>
        <w:t>Run metrics that operators need.</w:t>
      </w:r>
    </w:p>
    <w:p>
      <w:pPr>
        <w:pStyle w:val="ListBullet"/>
        <w:spacing w:after="40"/>
      </w:pPr>
      <w:r>
        <w:t>Consumer modules (Control, Asset, Risk, etc.).</w:t>
      </w:r>
    </w:p>
    <w:p>
      <w:pPr>
        <w:pStyle w:val="ListBullet"/>
        <w:spacing w:after="40"/>
      </w:pPr>
      <w:r>
        <w:t>Automation rules and canonical Controls, if any.</w:t>
      </w:r>
    </w:p>
    <w:p>
      <w:pPr>
        <w:pStyle w:val="ListBullet"/>
        <w:spacing w:after="40"/>
      </w:pPr>
      <w:r>
        <w:t>Failure/partial/inconclusive semantics.</w:t>
      </w:r>
    </w:p>
    <w:p>
      <w:pPr>
        <w:pStyle w:val="ListBullet"/>
        <w:spacing w:after="40"/>
      </w:pPr>
      <w:r>
        <w:t>Data retention and evidence/provenance expectations.</w:t>
      </w:r>
    </w:p>
    <w:p>
      <w:pPr>
        <w:pStyle w:val="Heading1"/>
        <w:keepNext/>
      </w:pPr>
      <w:r>
        <w:t>4. Database/catalog seeding</w:t>
      </w:r>
    </w:p>
    <w:p>
      <w:pPr>
        <w:pStyle w:val="ListNumber"/>
        <w:spacing w:after="40"/>
      </w:pPr>
      <w:r>
        <w:t>Upsert the provider in integration_providers only if it is a genuinely new provider boundary.</w:t>
      </w:r>
    </w:p>
    <w:p>
      <w:pPr>
        <w:pStyle w:val="ListNumber"/>
        <w:spacing w:after="40"/>
      </w:pPr>
      <w:r>
        <w:t>Upsert the capability in integration_capability_catalog using a stable namespaced key.</w:t>
      </w:r>
    </w:p>
    <w:p>
      <w:pPr>
        <w:pStyle w:val="ListNumber"/>
        <w:spacing w:after="40"/>
      </w:pPr>
      <w:r>
        <w:t>Ensure new tenant templates include the current Integration Management schema/migrations.</w:t>
      </w:r>
    </w:p>
    <w:p>
      <w:pPr>
        <w:pStyle w:val="ListNumber"/>
        <w:spacing w:after="40"/>
      </w:pPr>
      <w:r>
        <w:t>Seed reusable automation rule intelligence in intel_core; do not seed tenant adoption/implementation decisions.</w:t>
      </w:r>
    </w:p>
    <w:p>
      <w:pPr>
        <w:pStyle w:val="ListNumber"/>
        <w:spacing w:after="40"/>
      </w:pPr>
      <w:r>
        <w:t>Use idempotent migrations/upserts and version them.</w:t>
      </w:r>
    </w:p>
    <w:p>
      <w:pPr>
        <w:pStyle w:val="Heading1"/>
        <w:keepNext/>
      </w:pPr>
      <w:r>
        <w:t>5. Connection and credential components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rPr>
          <w:tblHeader w:val="true"/>
        </w:trPr>
        <w:tc>
          <w:tcPr>
            <w:tcW w:type="dxa" w:w="4939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Component</w:t>
            </w:r>
          </w:p>
        </w:tc>
        <w:tc>
          <w:tcPr>
            <w:tcW w:type="dxa" w:w="4939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Responsibility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&lt;Provider&gt;ConnectionManager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Save/read provider connection/configuration and enabled capability state.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&lt;Provider&gt;CredentialResolver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Load/decrypt provider secrets only when needed.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&lt;Provider&gt;ConnectionTester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Validate required connectivity and classify optional availability.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&lt;Provider&gt;Runtime or collector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Execute provider API calls and normalize results.</w:t>
            </w:r>
          </w:p>
        </w:tc>
      </w:tr>
    </w:tbl>
    <w:p>
      <w:pPr>
        <w:spacing w:after="20"/>
      </w:pPr>
    </w:p>
    <w:p>
      <w:pPr>
        <w:spacing w:after="100"/>
      </w:pPr>
      <w:r>
        <w:t>Use the shared Integration Management secret/TLS helpers. Provider runtime files must not import legacy Asset Management integration helper files.</w:t>
      </w:r>
    </w:p>
    <w:p>
      <w:pPr>
        <w:pStyle w:val="Heading1"/>
        <w:keepNext/>
      </w:pPr>
      <w:r>
        <w:t>6. Connection testing and availability semantics</w:t>
      </w:r>
    </w:p>
    <w:p>
      <w:pPr>
        <w:spacing w:after="100"/>
      </w:pPr>
      <w:r>
        <w:t>Connection testing is part of product semantics, not merely an HTTP 200 check. Classify each probe before implementation.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rPr>
          <w:tblHeader w:val="true"/>
        </w:trPr>
        <w:tc>
          <w:tcPr>
            <w:tcW w:type="dxa" w:w="3293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Class</w:t>
            </w:r>
          </w:p>
        </w:tc>
        <w:tc>
          <w:tcPr>
            <w:tcW w:type="dxa" w:w="3293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Meaning</w:t>
            </w:r>
          </w:p>
        </w:tc>
        <w:tc>
          <w:tcPr>
            <w:tcW w:type="dxa" w:w="3293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Result</w:t>
            </w:r>
          </w:p>
        </w:tc>
      </w:tr>
      <w:tr>
        <w:trPr>
          <w:cantSplit/>
        </w:trPr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Required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Without this stream the capability cannot produce its minimum supported function.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Hard failure / cannot activate as healthy.</w:t>
            </w:r>
          </w:p>
        </w:tc>
      </w:tr>
      <w:tr>
        <w:trPr>
          <w:cantSplit/>
        </w:trPr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Optional/licence-dependent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Useful evidence available only on some plans/permissions.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Connected-limited; record unavailable stream.</w:t>
            </w:r>
          </w:p>
        </w:tc>
      </w:tr>
      <w:tr>
        <w:trPr>
          <w:cantSplit/>
        </w:trPr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Diagnostic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Helpful check but not evidence prerequisite.</w:t>
            </w:r>
          </w:p>
        </w:tc>
        <w:tc>
          <w:tcPr>
            <w:tcW w:type="dxa" w:w="3293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Report diagnostic without changing connection validity.</w:t>
            </w:r>
          </w:p>
        </w:tc>
      </w:tr>
    </w:tbl>
    <w:p>
      <w:pPr>
        <w:spacing w:after="20"/>
      </w:pPr>
    </w:p>
    <w:p>
      <w:pPr>
        <w:spacing w:after="100"/>
      </w:pPr>
      <w:r>
        <w:t>Microsoft is the reference implementation for shared-provider capability semantics: connection authentication is shared, capability readiness is evaluated independently, optional/licence-dependent streams produce limited/unavailable capability states, and disabled capabilities are not queued. Entra ID remains the reference for required-versus-optional evidence semantics.</w:t>
      </w:r>
    </w:p>
    <w:p>
      <w:pPr>
        <w:pStyle w:val="Heading1"/>
        <w:keepNext/>
      </w:pPr>
      <w:r>
        <w:t>7. Collector and observation design</w:t>
      </w:r>
    </w:p>
    <w:p>
      <w:pPr>
        <w:pStyle w:val="ListBullet"/>
        <w:spacing w:after="40"/>
      </w:pPr>
      <w:r>
        <w:t>Collectors should emit normalized facts, not framework-specific conclusions.</w:t>
      </w:r>
    </w:p>
    <w:p>
      <w:pPr>
        <w:pStyle w:val="ListBullet"/>
        <w:spacing w:after="40"/>
      </w:pPr>
      <w:r>
        <w:t>Observation type names should be provider-namespaced and stable.</w:t>
      </w:r>
    </w:p>
    <w:p>
      <w:pPr>
        <w:pStyle w:val="ListBullet"/>
        <w:spacing w:after="40"/>
      </w:pPr>
      <w:r>
        <w:t>Include enough source identity/context to support idempotent upsert and provenance.</w:t>
      </w:r>
    </w:p>
    <w:p>
      <w:pPr>
        <w:pStyle w:val="ListBullet"/>
        <w:spacing w:after="40"/>
      </w:pPr>
      <w:r>
        <w:t>Emit explicit collection-status/summary facts when an optional stream is unavailable so evaluators can distinguish “no finding” from “could not collect”.</w:t>
      </w:r>
    </w:p>
    <w:p>
      <w:pPr>
        <w:pStyle w:val="ListBullet"/>
        <w:spacing w:after="40"/>
      </w:pPr>
      <w:r>
        <w:t>Avoid putting decrypted secrets or oversized provider payloads into observations unless there is a justified protected retention requirement.</w:t>
      </w:r>
    </w:p>
    <w:p>
      <w:pPr>
        <w:pStyle w:val="Heading1"/>
        <w:keepNext/>
      </w:pPr>
      <w:r>
        <w:t>8. Jobs, runs, metrics and sync state</w:t>
      </w:r>
    </w:p>
    <w:p>
      <w:pPr>
        <w:pStyle w:val="ListBullet"/>
        <w:spacing w:after="40"/>
      </w:pPr>
      <w:r>
        <w:t>Manual and scheduled triggers should both queue integration_jobs.</w:t>
      </w:r>
    </w:p>
    <w:p>
      <w:pPr>
        <w:pStyle w:val="ListBullet"/>
        <w:spacing w:after="40"/>
      </w:pPr>
      <w:r>
        <w:t>The worker owns provider execution; web requests should not wait for long-running syncs.</w:t>
      </w:r>
    </w:p>
    <w:p>
      <w:pPr>
        <w:pStyle w:val="ListBullet"/>
        <w:spacing w:after="40"/>
      </w:pPr>
      <w:r>
        <w:t>Create one integration_run per execution and record ok/partial/error semantics consistently.</w:t>
      </w:r>
    </w:p>
    <w:p>
      <w:pPr>
        <w:pStyle w:val="ListBullet"/>
        <w:spacing w:after="40"/>
      </w:pPr>
      <w:r>
        <w:t>Write useful counts and per-stream metrics for operator diagnostics.</w:t>
      </w:r>
    </w:p>
    <w:p>
      <w:pPr>
        <w:pStyle w:val="ListBullet"/>
        <w:spacing w:after="40"/>
      </w:pPr>
      <w:r>
        <w:t>Use integration_sync_state for incremental cursors/watermarks; update successful state only when the relevant stream is successfully processed.</w:t>
      </w:r>
    </w:p>
    <w:p>
      <w:pPr>
        <w:pStyle w:val="Heading1"/>
        <w:keepNext/>
      </w:pPr>
      <w:r>
        <w:t>9. Consumer hand-off patterns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rPr>
          <w:tblHeader w:val="true"/>
        </w:trPr>
        <w:tc>
          <w:tcPr>
            <w:tcW w:type="dxa" w:w="4939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Consumer</w:t>
            </w:r>
          </w:p>
        </w:tc>
        <w:tc>
          <w:tcPr>
            <w:tcW w:type="dxa" w:w="4939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</w:rPr>
              <w:t>Pattern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Control Management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Evaluate observations after run completion; create/reuse tests, preserve test runs, materialise evidence/provenance.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Asset Management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Pass domain-specific inventory/vulnerability facts into Asset-domain processing without moving provider credentials into Asset Management.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Risk Management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Consume linked technical evidence/context through explicit records; do not let provider score become the enterprise Risk score.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Compliance frameworks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Reuse mapped organisation Control assurance; do not run provider collectors per framework.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10. Control automation rules and mappings</w:t>
      </w:r>
    </w:p>
    <w:p>
      <w:pPr>
        <w:pStyle w:val="ListNumber"/>
        <w:spacing w:after="40"/>
      </w:pPr>
      <w:r>
        <w:t>Define a stable canonical rule key under the provider/capability namespace.</w:t>
      </w:r>
    </w:p>
    <w:p>
      <w:pPr>
        <w:pStyle w:val="ListNumber"/>
        <w:spacing w:after="40"/>
      </w:pPr>
      <w:r>
        <w:t>Map the rule to the canonical global Control, not directly to every framework requirement.</w:t>
      </w:r>
    </w:p>
    <w:p>
      <w:pPr>
        <w:pStyle w:val="ListNumber"/>
        <w:spacing w:after="40"/>
      </w:pPr>
      <w:r>
        <w:t>Define pass/fail/inconclusive semantics and minimum observation completeness.</w:t>
      </w:r>
    </w:p>
    <w:p>
      <w:pPr>
        <w:pStyle w:val="ListNumber"/>
        <w:spacing w:after="40"/>
      </w:pPr>
      <w:r>
        <w:t>Materialise only when the organisation has already adopted the Control and it is applicable/active.</w:t>
      </w:r>
    </w:p>
    <w:p>
      <w:pPr>
        <w:pStyle w:val="ListNumber"/>
        <w:spacing w:after="40"/>
      </w:pPr>
      <w:r>
        <w:t>Create/reuse an automated test definition and preserve each execution result.</w:t>
      </w:r>
    </w:p>
    <w:p>
      <w:pPr>
        <w:pStyle w:val="ListNumber"/>
        <w:spacing w:after="40"/>
      </w:pPr>
      <w:r>
        <w:t>Attach integration evidence and provenance to the organisation Control/test run.</w:t>
      </w:r>
    </w:p>
    <w:p>
      <w:pPr>
        <w:pStyle w:val="ListNumber"/>
        <w:spacing w:after="40"/>
      </w:pPr>
      <w:r>
        <w:t>Archive older generated evidence for the same binding when a newer result becomes current; keep history.</w:t>
      </w:r>
    </w:p>
    <w:p>
      <w:pPr>
        <w:pStyle w:val="Heading1"/>
        <w:keepNext/>
      </w:pPr>
      <w:r>
        <w:t>11. Security and error handling</w:t>
      </w:r>
    </w:p>
    <w:p>
      <w:pPr>
        <w:pStyle w:val="ListBullet"/>
        <w:spacing w:after="40"/>
      </w:pPr>
      <w:r>
        <w:t>Use least privilege and document every provider permission.</w:t>
      </w:r>
    </w:p>
    <w:p>
      <w:pPr>
        <w:pStyle w:val="ListBullet"/>
        <w:spacing w:after="40"/>
      </w:pPr>
      <w:r>
        <w:t>Prefer short-lived/rotatable credentials; where a cloud provider supports delegated role assumption, use it.</w:t>
      </w:r>
    </w:p>
    <w:p>
      <w:pPr>
        <w:pStyle w:val="ListBullet"/>
        <w:spacing w:after="40"/>
      </w:pPr>
      <w:r>
        <w:t>Keep TLS verification enabled.</w:t>
      </w:r>
    </w:p>
    <w:p>
      <w:pPr>
        <w:pStyle w:val="ListBullet"/>
        <w:spacing w:after="40"/>
      </w:pPr>
      <w:r>
        <w:t>Return friendly errors to users and keep technical diagnostics in protected logs.</w:t>
      </w:r>
    </w:p>
    <w:p>
      <w:pPr>
        <w:pStyle w:val="ListBullet"/>
        <w:spacing w:after="40"/>
      </w:pPr>
      <w:r>
        <w:t>Use tenant database boundaries consistently.</w:t>
      </w:r>
    </w:p>
    <w:p>
      <w:pPr>
        <w:pStyle w:val="ListBullet"/>
        <w:spacing w:after="40"/>
      </w:pPr>
      <w:r>
        <w:t>Do not allow a provider result to bypass Control/Compliance permissions or management decisions.</w:t>
      </w:r>
    </w:p>
    <w:p>
      <w:pPr>
        <w:pStyle w:val="Heading1"/>
        <w:keepNext/>
      </w:pPr>
      <w:r>
        <w:t>12. Testing and release checklist</w:t>
      </w:r>
    </w:p>
    <w:p>
      <w:pPr>
        <w:pStyle w:val="ListBullet"/>
        <w:spacing w:after="40"/>
      </w:pPr>
      <w:r>
        <w:t>Connection save/test with new and existing masked secret.</w:t>
      </w:r>
    </w:p>
    <w:p>
      <w:pPr>
        <w:pStyle w:val="ListBullet"/>
        <w:spacing w:after="40"/>
      </w:pPr>
      <w:r>
        <w:t>Required failure blocks activation; optional failure produces limited state.</w:t>
      </w:r>
    </w:p>
    <w:p>
      <w:pPr>
        <w:pStyle w:val="ListBullet"/>
        <w:spacing w:after="40"/>
      </w:pPr>
      <w:r>
        <w:t>Manual job queues and worker completes it.</w:t>
      </w:r>
    </w:p>
    <w:p>
      <w:pPr>
        <w:pStyle w:val="ListBullet"/>
        <w:spacing w:after="40"/>
      </w:pPr>
      <w:r>
        <w:t>Scheduler queues only when due.</w:t>
      </w:r>
    </w:p>
    <w:p>
      <w:pPr>
        <w:pStyle w:val="ListBullet"/>
        <w:spacing w:after="40"/>
      </w:pPr>
      <w:r>
        <w:t>Observation schema/upsert works with repeated runs.</w:t>
      </w:r>
    </w:p>
    <w:p>
      <w:pPr>
        <w:pStyle w:val="ListBullet"/>
        <w:spacing w:after="40"/>
      </w:pPr>
      <w:r>
        <w:t>Partial run semantics proven.</w:t>
      </w:r>
    </w:p>
    <w:p>
      <w:pPr>
        <w:pStyle w:val="ListBullet"/>
        <w:spacing w:after="40"/>
      </w:pPr>
      <w:r>
        <w:t>Sync-state success/failure behaviour proven.</w:t>
      </w:r>
    </w:p>
    <w:p>
      <w:pPr>
        <w:pStyle w:val="ListBullet"/>
        <w:spacing w:after="40"/>
      </w:pPr>
      <w:r>
        <w:t>Downstream consumer hand-off proven.</w:t>
      </w:r>
    </w:p>
    <w:p>
      <w:pPr>
        <w:pStyle w:val="ListBullet"/>
        <w:spacing w:after="40"/>
      </w:pPr>
      <w:r>
        <w:t>Control automation idempotency and evidence lifecycle proven where applicable.</w:t>
      </w:r>
    </w:p>
    <w:p>
      <w:pPr>
        <w:pStyle w:val="ListBullet"/>
        <w:spacing w:after="40"/>
      </w:pPr>
      <w:r>
        <w:t>UTC timestamps consistent.</w:t>
      </w:r>
    </w:p>
    <w:p>
      <w:pPr>
        <w:pStyle w:val="ListBullet"/>
        <w:spacing w:after="40"/>
      </w:pPr>
      <w:r>
        <w:t>Friendly UI errors verified.</w:t>
      </w:r>
    </w:p>
    <w:p>
      <w:pPr>
        <w:pStyle w:val="ListBullet"/>
        <w:spacing w:after="40"/>
      </w:pPr>
      <w:r>
        <w:t>Windows and Linux service paths/configuration documented.</w:t>
      </w:r>
    </w:p>
    <w:p>
      <w:pPr>
        <w:pStyle w:val="ListBullet"/>
        <w:spacing w:after="40"/>
      </w:pPr>
      <w:r>
        <w:t>Help Centre, technical docs and release notes updated.</w:t>
      </w:r>
    </w:p>
    <w:p>
      <w:pPr>
        <w:pStyle w:val="Heading1"/>
        <w:keepNext/>
      </w:pPr>
      <w:r>
        <w:t>13. Microsoft capability implementation pattern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rPr>
          <w:tblHeader w:val="true"/>
        </w:trPr>
        <w:tc>
          <w:tcPr>
            <w:tcW w:type="dxa" w:w="4939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Implemented Microsoft capability</w:t>
            </w:r>
          </w:p>
        </w:tc>
        <w:tc>
          <w:tcPr>
            <w:tcW w:type="dxa" w:w="4939"/>
            <w:shd w:fill="4B09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Current integration/consumer pattern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microsoft.intune_devices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Implemented. Asset inventory/device compliance and Control evidence; licensed-tenant acceptance pending.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microsoft.defender_endpoint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Implemented. Endpoint exposure/vulnerability/security state for Asset + Control consumers; licensed-tenant acceptance pending.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0"/>
            </w:pPr>
            <w:r>
              <w:t>microsoft.m365_security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Implemented and accepted. Secure Score/control observations; incident/alert streams can be tenant/service dependent.</w:t>
            </w:r>
          </w:p>
        </w:tc>
      </w:tr>
      <w:tr>
        <w:trPr>
          <w:cantSplit/>
        </w:trPr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microsoft.azure_resources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t>Implemented and accepted at connection/read-probe level. Azure resource inventory and security posture depend on subscription RBAC.</w:t>
            </w:r>
          </w:p>
        </w:tc>
      </w:tr>
    </w:tbl>
    <w:p>
      <w:pPr>
        <w:spacing w:after="20"/>
      </w:pPr>
    </w:p>
    <w:p>
      <w:pPr>
        <w:spacing w:after="100"/>
      </w:pPr>
      <w:r>
        <w:t>Each should reuse the existing Microsoft connection where possible, add only capability-specific permissions/collectors/observations, and preserve optional licensing semantics instead of making the entire Microsoft connection fail.</w:t>
      </w:r>
    </w:p>
    <w:p>
      <w:pPr>
        <w:pStyle w:val="Heading1"/>
        <w:keepNext/>
      </w:pPr>
      <w:r>
        <w:t>14. AWS design baseline</w:t>
      </w:r>
    </w:p>
    <w:p>
      <w:pPr>
        <w:pStyle w:val="ListBullet"/>
        <w:spacing w:after="40"/>
      </w:pPr>
      <w:r>
        <w:t>Treat AWS as a separate provider because the account/authentication boundary is not Microsoft.</w:t>
      </w:r>
    </w:p>
    <w:p>
      <w:pPr>
        <w:pStyle w:val="ListBullet"/>
        <w:spacing w:after="40"/>
      </w:pPr>
      <w:r>
        <w:t>Use AssumeRole and external ID for customer account access where possible.</w:t>
      </w:r>
    </w:p>
    <w:p>
      <w:pPr>
        <w:pStyle w:val="ListBullet"/>
        <w:spacing w:after="40"/>
      </w:pPr>
      <w:r>
        <w:t>Avoid storing long-lived AWS access keys as the default integration pattern.</w:t>
      </w:r>
    </w:p>
    <w:p>
      <w:pPr>
        <w:pStyle w:val="ListBullet"/>
        <w:spacing w:after="40"/>
      </w:pPr>
      <w:r>
        <w:t>Model resource inventory and security findings as separate capabilities if their permissions, cadence or consumers differ materially.</w:t>
      </w:r>
    </w:p>
    <w:p>
      <w:pPr>
        <w:pStyle w:val="ListBullet"/>
        <w:spacing w:after="40"/>
      </w:pPr>
      <w:r>
        <w:t>Apply the same observation → consumer/evaluator separation used by Microsoft and Qualys.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WSmall"/>
      <w:jc w:val="right"/>
    </w:pPr>
    <w: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WSmall"/>
      <w:jc w:val="right"/>
    </w:pPr>
    <w:r>
      <w:t>PurpleWASP  |  Integration Documentation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4B098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E203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4B098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E203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WSmall">
    <w:name w:val="PW Small"/>
    <w:rPr>
      <w:rFonts w:ascii="Arial" w:hAnsi="Arial"/>
      <w:color w:val="666666"/>
      <w:sz w:val="16"/>
    </w:rPr>
  </w:style>
  <w:style w:type="paragraph" w:customStyle="1" w:styleId="PWCallout">
    <w:name w:val="PW Callout"/>
    <w:rPr>
      <w:rFonts w:ascii="Arial" w:hAnsi="Arial"/>
      <w:b/>
      <w:color w:val="2E203C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PurpleWASP</dc:creator>
  <cp:keywords/>
  <dc:description>PurpleWASP Integration Management documentation baseline 3 October 2026.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