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rial" w:hAnsi="Arial"/>
          <w:b/>
          <w:color w:val="4B0983"/>
          <w:sz w:val="24"/>
        </w:rPr>
        <w:t>PURPLEWASP</w:t>
      </w:r>
    </w:p>
    <w:p>
      <w:pPr>
        <w:pStyle w:val="Title"/>
        <w:spacing w:after="100"/>
      </w:pPr>
      <w:r>
        <w:t>Integration Management Technical Implementation Guide</w:t>
      </w:r>
    </w:p>
    <w:p>
      <w:pPr>
        <w:spacing w:after="280"/>
      </w:pPr>
      <w:r>
        <w:rPr>
          <w:color w:val="2E203C"/>
          <w:sz w:val="26"/>
        </w:rPr>
        <w:t>PurpleWASP architecture, database model, provider runtime, observations, Control evidence automation and deployment baseline</w:t>
      </w:r>
    </w:p>
    <w:tbl>
      <w:tblPr>
        <w:tblW w:type="auto" w:w="0"/>
        <w:jc w:val="center"/>
        <w:tblLayout w:type="autofit"/>
        <w:tblLook w:firstColumn="1" w:firstRow="1" w:lastColumn="0" w:lastRow="0" w:noHBand="0" w:noVBand="1" w:val="04A0"/>
      </w:tblPr>
      <w:tblGrid>
        <w:gridCol w:w="4939"/>
        <w:gridCol w:w="4939"/>
      </w:tblGrid>
      <w:tr>
        <w:tc>
          <w:tcPr>
            <w:tcW w:type="dxa" w:w="4939"/>
            <w:shd w:fill="F2EAF8"/>
            <w:tcMar>
              <w:top w:w="90" w:type="dxa"/>
              <w:start w:w="100" w:type="dxa"/>
              <w:bottom w:w="90" w:type="dxa"/>
              <w:end w:w="100" w:type="dxa"/>
            </w:tcMar>
            <w:vAlign w:val="center"/>
          </w:tcPr>
          <w:p>
            <w:pPr>
              <w:spacing w:after="0"/>
            </w:pPr>
            <w:r>
              <w:rPr>
                <w:b/>
                <w:color w:val="2E203C"/>
              </w:rPr>
              <w:t>Audience</w:t>
            </w:r>
          </w:p>
        </w:tc>
        <w:tc>
          <w:tcPr>
            <w:tcW w:type="dxa" w:w="4939"/>
            <w:tcMar>
              <w:top w:w="90" w:type="dxa"/>
              <w:start w:w="100" w:type="dxa"/>
              <w:bottom w:w="90" w:type="dxa"/>
              <w:end w:w="100" w:type="dxa"/>
            </w:tcMar>
            <w:vAlign w:val="center"/>
          </w:tcPr>
          <w:p>
            <w:pPr>
              <w:spacing w:after="0"/>
            </w:pPr>
            <w:r>
              <w:t>PurpleWASP developers, administrators, implementation partners, SRE/operations teams and technical support</w:t>
            </w:r>
          </w:p>
        </w:tc>
      </w:tr>
      <w:tr>
        <w:tc>
          <w:tcPr>
            <w:tcW w:type="dxa" w:w="4939"/>
            <w:shd w:fill="F2EAF8"/>
            <w:tcMar>
              <w:top w:w="90" w:type="dxa"/>
              <w:start w:w="100" w:type="dxa"/>
              <w:bottom w:w="90" w:type="dxa"/>
              <w:end w:w="100" w:type="dxa"/>
            </w:tcMar>
            <w:vAlign w:val="center"/>
          </w:tcPr>
          <w:p>
            <w:pPr>
              <w:spacing w:after="0"/>
            </w:pPr>
            <w:r>
              <w:rPr>
                <w:b/>
                <w:color w:val="2E203C"/>
              </w:rPr>
              <w:t>Baseline date</w:t>
            </w:r>
          </w:p>
        </w:tc>
        <w:tc>
          <w:tcPr>
            <w:tcW w:type="dxa" w:w="4939"/>
            <w:tcMar>
              <w:top w:w="90" w:type="dxa"/>
              <w:start w:w="100" w:type="dxa"/>
              <w:bottom w:w="90" w:type="dxa"/>
              <w:end w:w="100" w:type="dxa"/>
            </w:tcMar>
            <w:vAlign w:val="center"/>
          </w:tcPr>
          <w:p>
            <w:r>
              <w:t>4 October 2026</w:t>
            </w:r>
          </w:p>
        </w:tc>
      </w:tr>
      <w:tr>
        <w:tc>
          <w:tcPr>
            <w:tcW w:type="dxa" w:w="4939"/>
            <w:shd w:fill="F2EAF8"/>
            <w:tcMar>
              <w:top w:w="90" w:type="dxa"/>
              <w:start w:w="100" w:type="dxa"/>
              <w:bottom w:w="90" w:type="dxa"/>
              <w:end w:w="100" w:type="dxa"/>
            </w:tcMar>
            <w:vAlign w:val="center"/>
          </w:tcPr>
          <w:p>
            <w:pPr>
              <w:spacing w:after="0"/>
            </w:pPr>
            <w:r>
              <w:rPr>
                <w:b/>
                <w:color w:val="2E203C"/>
              </w:rPr>
              <w:t>Status</w:t>
            </w:r>
          </w:p>
        </w:tc>
        <w:tc>
          <w:tcPr>
            <w:tcW w:type="dxa" w:w="4939"/>
            <w:tcMar>
              <w:top w:w="90" w:type="dxa"/>
              <w:start w:w="100" w:type="dxa"/>
              <w:bottom w:w="90" w:type="dxa"/>
              <w:end w:w="100" w:type="dxa"/>
            </w:tcMar>
            <w:vAlign w:val="center"/>
          </w:tcPr>
          <w:p>
            <w:pPr>
              <w:spacing w:after="0"/>
            </w:pPr>
            <w:r>
              <w:t>Current documentation baseline</w:t>
            </w:r>
          </w:p>
        </w:tc>
      </w:tr>
      <w:tr>
        <w:tc>
          <w:tcPr>
            <w:tcW w:type="dxa" w:w="4939"/>
            <w:shd w:fill="F2EAF8"/>
            <w:tcMar>
              <w:top w:w="90" w:type="dxa"/>
              <w:start w:w="100" w:type="dxa"/>
              <w:bottom w:w="90" w:type="dxa"/>
              <w:end w:w="100" w:type="dxa"/>
            </w:tcMar>
            <w:vAlign w:val="center"/>
          </w:tcPr>
          <w:p>
            <w:pPr>
              <w:spacing w:after="0"/>
            </w:pPr>
            <w:r>
              <w:rPr>
                <w:b/>
                <w:color w:val="2E203C"/>
              </w:rPr>
              <w:t>Product scope</w:t>
            </w:r>
          </w:p>
        </w:tc>
        <w:tc>
          <w:tcPr>
            <w:tcW w:type="dxa" w:w="4939"/>
            <w:tcMar>
              <w:top w:w="90" w:type="dxa"/>
              <w:start w:w="100" w:type="dxa"/>
              <w:bottom w:w="90" w:type="dxa"/>
              <w:end w:w="100" w:type="dxa"/>
            </w:tcMar>
            <w:vAlign w:val="center"/>
          </w:tcPr>
          <w:p>
            <w:r>
              <w:t>Shared Integration Management control plane with the Microsoft multi-capability provider and Qualys, plus Control Management and Asset Management consumers</w:t>
            </w:r>
          </w:p>
        </w:tc>
      </w:tr>
    </w:tbl>
    <w:p/>
    <w:p>
      <w:pPr>
        <w:pStyle w:val="PWSmall"/>
        <w:spacing w:after="240"/>
      </w:pPr>
      <w:r>
        <w:t>This document describes the PurpleWASP implementation baseline completed on 4 October 2026. The Microsoft provider now implements Entra ID, Microsoft 365 Security, Intune, Defender for Endpoint and Azure capabilities under one shared OAuth connection with independent capability enablement. Provider APIs, permissions and licensing can change; validate vendor-specific prerequisites before each new deployment or capability expansion.</w:t>
      </w:r>
    </w:p>
    <w:p>
      <w:pPr>
        <w:pStyle w:val="Heading1"/>
        <w:keepNext/>
      </w:pPr>
      <w:r>
        <w:t>Document map</w:t>
      </w:r>
    </w:p>
    <w:p>
      <w:pPr>
        <w:spacing w:after="20"/>
      </w:pPr>
      <w:r>
        <w:t>1. Technical scope and invariants</w:t>
      </w:r>
    </w:p>
    <w:p>
      <w:pPr>
        <w:spacing w:after="20"/>
      </w:pPr>
      <w:r>
        <w:t>2. Architecture and ownership boundaries</w:t>
      </w:r>
    </w:p>
    <w:p>
      <w:pPr>
        <w:spacing w:after="20"/>
      </w:pPr>
      <w:r>
        <w:t>3. Database model</w:t>
      </w:r>
    </w:p>
    <w:p>
      <w:pPr>
        <w:spacing w:after="20"/>
      </w:pPr>
      <w:r>
        <w:t>4. Provider and capability model</w:t>
      </w:r>
    </w:p>
    <w:p>
      <w:pPr>
        <w:spacing w:after="20"/>
      </w:pPr>
      <w:r>
        <w:t>5. Credential and secret handling</w:t>
      </w:r>
    </w:p>
    <w:p>
      <w:pPr>
        <w:spacing w:after="20"/>
      </w:pPr>
      <w:r>
        <w:t>6. HTTP/API boundary and administrator UI</w:t>
      </w:r>
    </w:p>
    <w:p>
      <w:pPr>
        <w:spacing w:after="20"/>
      </w:pPr>
      <w:r>
        <w:t>7. Job, scheduler and worker runtime</w:t>
      </w:r>
    </w:p>
    <w:p>
      <w:pPr>
        <w:spacing w:after="20"/>
      </w:pPr>
      <w:r>
        <w:t>8. Observation model and normalization</w:t>
      </w:r>
    </w:p>
    <w:p>
      <w:pPr>
        <w:spacing w:after="20"/>
      </w:pPr>
      <w:r>
        <w:t>9. Microsoft multi-capability implementation</w:t>
      </w:r>
    </w:p>
    <w:p>
      <w:pPr>
        <w:spacing w:after="20"/>
      </w:pPr>
      <w:r>
        <w:t>10. Qualys implementation and Asset Management hand-off</w:t>
      </w:r>
    </w:p>
    <w:p>
      <w:pPr>
        <w:spacing w:after="20"/>
      </w:pPr>
      <w:r>
        <w:t>11. Control automation and evidence materialisation</w:t>
      </w:r>
    </w:p>
    <w:p>
      <w:pPr>
        <w:spacing w:after="20"/>
      </w:pPr>
      <w:r>
        <w:t>12. Evidence lifecycle and idempotency</w:t>
      </w:r>
    </w:p>
    <w:p>
      <w:pPr>
        <w:spacing w:after="20"/>
      </w:pPr>
      <w:r>
        <w:t>13. UTC and timestamp contract</w:t>
      </w:r>
    </w:p>
    <w:p>
      <w:pPr>
        <w:spacing w:after="20"/>
      </w:pPr>
      <w:r>
        <w:t>14. Error handling, logging and user-safe failures</w:t>
      </w:r>
    </w:p>
    <w:p>
      <w:pPr>
        <w:spacing w:after="20"/>
      </w:pPr>
      <w:r>
        <w:t>15. Windows and Linux deployment baseline</w:t>
      </w:r>
    </w:p>
    <w:p>
      <w:pPr>
        <w:spacing w:after="20"/>
      </w:pPr>
      <w:r>
        <w:t>16. Security properties and trust boundaries</w:t>
      </w:r>
    </w:p>
    <w:p>
      <w:pPr>
        <w:spacing w:after="20"/>
      </w:pPr>
      <w:r>
        <w:t>17. Failure modes and troubleshooting</w:t>
      </w:r>
    </w:p>
    <w:p>
      <w:pPr>
        <w:spacing w:after="20"/>
      </w:pPr>
      <w:r>
        <w:t>18. Acceptance and regression test matrix</w:t>
      </w:r>
    </w:p>
    <w:p>
      <w:pPr>
        <w:spacing w:after="20"/>
      </w:pPr>
      <w:r>
        <w:t>19. Extension and maintenance guidance</w:t>
      </w:r>
    </w:p>
    <w:p>
      <w:pPr>
        <w:spacing w:after="20"/>
      </w:pPr>
      <w:r>
        <w:t>20. Current capability baseline</w:t>
      </w:r>
    </w:p>
    <w:p/>
    <w:p>
      <w:pPr>
        <w:pStyle w:val="Heading1"/>
        <w:keepNext/>
      </w:pPr>
      <w:r>
        <w:t>1. Technical scope and invariants</w:t>
      </w:r>
    </w:p>
    <w:p>
      <w:pPr>
        <w:spacing w:after="100"/>
      </w:pPr>
      <w:r>
        <w:t>Integration Management is a multi-tenant shared subsystem. It centralises provider connections and execution without collapsing the domain models of consumer modules.</w:t>
      </w:r>
    </w:p>
    <w:tbl>
      <w:tblPr>
        <w:tblW w:type="auto" w:w="0"/>
        <w:jc w:val="center"/>
        <w:tblLook w:firstColumn="1" w:firstRow="1" w:lastColumn="0" w:lastRow="0" w:noHBand="0" w:noVBand="1" w:val="04A0"/>
      </w:tblPr>
      <w:tblGrid>
        <w:gridCol w:w="9878"/>
      </w:tblGrid>
      <w:tr>
        <w:tc>
          <w:tcPr>
            <w:tcW w:type="dxa" w:w="9878"/>
            <w:shd w:fill="F2EAF8"/>
            <w:tcMar>
              <w:top w:w="120" w:type="dxa"/>
              <w:start w:w="140" w:type="dxa"/>
              <w:bottom w:w="120" w:type="dxa"/>
              <w:end w:w="140" w:type="dxa"/>
            </w:tcMar>
          </w:tcPr>
          <w:p>
            <w:pPr>
              <w:spacing w:after="0"/>
            </w:pPr>
            <w:r>
              <w:rPr>
                <w:b/>
                <w:color w:val="4B0983"/>
              </w:rPr>
              <w:t>Primary invariant</w:t>
              <w:br/>
            </w:r>
            <w:r>
              <w:t>Provider connection state, credentials, jobs, runs and normalized observations belong to Integration Management. Asset vulnerabilities remain Asset Management data. Control assurance remains Control Management data. Framework modules consume mapped Control assurance rather than collecting provider evidence independently.</w:t>
            </w:r>
          </w:p>
        </w:tc>
      </w:tr>
    </w:tbl>
    <w:p>
      <w:pPr>
        <w:spacing w:after="20"/>
      </w:pPr>
    </w:p>
    <w:p>
      <w:pPr>
        <w:pStyle w:val="ListBullet"/>
        <w:spacing w:after="40"/>
      </w:pPr>
      <w:r>
        <w:t>One canonical Control can map to multiple frameworks; evidence is attached to the Control and reused through those mappings.</w:t>
      </w:r>
    </w:p>
    <w:p>
      <w:pPr>
        <w:pStyle w:val="ListBullet"/>
        <w:spacing w:after="40"/>
      </w:pPr>
      <w:r>
        <w:t>One or more evidence items can satisfy a Control. A provider result must not be duplicated once per framework.</w:t>
      </w:r>
    </w:p>
    <w:p>
      <w:pPr>
        <w:pStyle w:val="ListBullet"/>
        <w:spacing w:after="40"/>
      </w:pPr>
      <w:r>
        <w:t>External observations do not automatically set org_controls.implementation_status.</w:t>
      </w:r>
    </w:p>
    <w:p>
      <w:pPr>
        <w:pStyle w:val="ListBullet"/>
        <w:spacing w:after="40"/>
      </w:pPr>
      <w:r>
        <w:t>Integration rules materialise only for already-adopted, applicable, active organisation Controls.</w:t>
      </w:r>
    </w:p>
    <w:p>
      <w:pPr>
        <w:pStyle w:val="ListBullet"/>
        <w:spacing w:after="40"/>
      </w:pPr>
      <w:r>
        <w:t>Manual evidence/testing remains first-class and coexists with automated evidence.</w:t>
      </w:r>
    </w:p>
    <w:p>
      <w:pPr>
        <w:pStyle w:val="Heading1"/>
        <w:keepNext/>
      </w:pPr>
      <w:r>
        <w:t>2. Architecture and ownership boundaries</w:t>
      </w:r>
    </w:p>
    <w:tbl>
      <w:tblPr>
        <w:tblW w:type="auto" w:w="0"/>
        <w:tblLook w:firstColumn="1" w:firstRow="1" w:lastColumn="0" w:lastRow="0" w:noHBand="0" w:noVBand="1" w:val="04A0"/>
      </w:tblPr>
      <w:tblGrid>
        <w:gridCol w:w="9878"/>
      </w:tblGrid>
      <w:tr>
        <w:tc>
          <w:tcPr>
            <w:tcW w:type="dxa" w:w="9878"/>
            <w:shd w:fill="F6F6F8"/>
            <w:tcMar>
              <w:top w:w="80" w:type="dxa"/>
              <w:start w:w="120" w:type="dxa"/>
              <w:bottom w:w="80" w:type="dxa"/>
              <w:end w:w="120" w:type="dxa"/>
            </w:tcMar>
          </w:tcPr>
          <w:p>
            <w:pPr>
              <w:spacing w:after="0"/>
            </w:pPr>
            <w:r>
              <w:rPr>
                <w:rFonts w:ascii="Courier New" w:hAnsi="Courier New"/>
                <w:sz w:val="17"/>
              </w:rPr>
              <w:t>Admin → Integrations</w:t>
              <w:br/>
              <w:t xml:space="preserve">   │</w:t>
              <w:br/>
              <w:t xml:space="preserve">   ├─ WEB_ROOT/integration_management/        HTTP/API boundary</w:t>
              <w:br/>
              <w:t xml:space="preserve">   │       │</w:t>
              <w:br/>
              <w:t xml:space="preserve">   │       └─ OUTSIDE_ROOT/assets/integration_management/</w:t>
              <w:br/>
              <w:t xml:space="preserve">   │              ├─ runtime / helpers</w:t>
              <w:br/>
              <w:t xml:space="preserve">   │              ├─ Microsoft/</w:t>
              <w:br/>
              <w:t xml:space="preserve">   │              └─ Qualys/</w:t>
              <w:br/>
              <w:t xml:space="preserve">   │</w:t>
              <w:br/>
              <w:t xml:space="preserve">   └─ &lt;tenant&gt;_integration_management</w:t>
              <w:br/>
              <w:t xml:space="preserve">          ├─ connections / credentials / capabilities</w:t>
              <w:br/>
              <w:t xml:space="preserve">          ├─ jobs / runs / metrics / sync state</w:t>
              <w:br/>
              <w:t xml:space="preserve">          └─ observations</w:t>
              <w:br/>
              <w:t xml:space="preserve">                 │</w:t>
              <w:br/>
              <w:t xml:space="preserve">        ┌────────┴────────┐</w:t>
              <w:br/>
              <w:t xml:space="preserve">        ▼                 ▼</w:t>
              <w:br/>
              <w:t>Asset Management     Control Management</w:t>
              <w:br/>
              <w:t>(vulnerability data) (tests/evidence/provenance)</w:t>
            </w:r>
          </w:p>
        </w:tc>
      </w:tr>
    </w:tbl>
    <w:p>
      <w:pPr>
        <w:spacing w:after="20"/>
      </w:pPr>
    </w:p>
    <w:tbl>
      <w:tblPr>
        <w:tblStyle w:val="TableGrid"/>
        <w:tblW w:type="auto" w:w="0"/>
        <w:jc w:val="center"/>
        <w:tblLook w:firstColumn="1" w:firstRow="1" w:lastColumn="0" w:lastRow="0" w:noHBand="0" w:noVBand="1" w:val="04A0"/>
      </w:tblPr>
      <w:tblGrid>
        <w:gridCol w:w="3293"/>
        <w:gridCol w:w="3293"/>
        <w:gridCol w:w="3293"/>
      </w:tblGrid>
      <w:tr>
        <w:trPr>
          <w:tblHeader w:val="true"/>
        </w:trPr>
        <w:tc>
          <w:tcPr>
            <w:tcW w:type="dxa" w:w="3293"/>
            <w:shd w:fill="4B0983"/>
            <w:tcMar>
              <w:top w:w="90" w:type="dxa"/>
              <w:start w:w="100" w:type="dxa"/>
              <w:bottom w:w="90" w:type="dxa"/>
              <w:end w:w="100" w:type="dxa"/>
            </w:tcMar>
            <w:vAlign w:val="center"/>
          </w:tcPr>
          <w:p>
            <w:r>
              <w:rPr>
                <w:b/>
                <w:color w:val="FFFFFF"/>
              </w:rPr>
              <w:t>Boundary</w:t>
            </w:r>
          </w:p>
        </w:tc>
        <w:tc>
          <w:tcPr>
            <w:tcW w:type="dxa" w:w="3293"/>
            <w:shd w:fill="4B0983"/>
            <w:tcMar>
              <w:top w:w="90" w:type="dxa"/>
              <w:start w:w="100" w:type="dxa"/>
              <w:bottom w:w="90" w:type="dxa"/>
              <w:end w:w="100" w:type="dxa"/>
            </w:tcMar>
            <w:vAlign w:val="center"/>
          </w:tcPr>
          <w:p>
            <w:r>
              <w:rPr>
                <w:b/>
                <w:color w:val="FFFFFF"/>
              </w:rPr>
              <w:t>Owns</w:t>
            </w:r>
          </w:p>
        </w:tc>
        <w:tc>
          <w:tcPr>
            <w:tcW w:type="dxa" w:w="3293"/>
            <w:shd w:fill="4B0983"/>
            <w:tcMar>
              <w:top w:w="90" w:type="dxa"/>
              <w:start w:w="100" w:type="dxa"/>
              <w:bottom w:w="90" w:type="dxa"/>
              <w:end w:w="100" w:type="dxa"/>
            </w:tcMar>
            <w:vAlign w:val="center"/>
          </w:tcPr>
          <w:p>
            <w:r>
              <w:rPr>
                <w:b/>
                <w:color w:val="FFFFFF"/>
              </w:rPr>
              <w:t>Must not own</w:t>
            </w:r>
          </w:p>
        </w:tc>
      </w:tr>
      <w:tr>
        <w:trPr>
          <w:cantSplit/>
        </w:trPr>
        <w:tc>
          <w:tcPr>
            <w:tcW w:type="dxa" w:w="3293"/>
            <w:tcMar>
              <w:top w:w="90" w:type="dxa"/>
              <w:start w:w="100" w:type="dxa"/>
              <w:bottom w:w="90" w:type="dxa"/>
              <w:end w:w="100" w:type="dxa"/>
            </w:tcMar>
            <w:vAlign w:val="top"/>
          </w:tcPr>
          <w:p>
            <w:pPr>
              <w:spacing w:after="0"/>
            </w:pPr>
            <w:r>
              <w:t>Integration Management</w:t>
            </w:r>
          </w:p>
        </w:tc>
        <w:tc>
          <w:tcPr>
            <w:tcW w:type="dxa" w:w="3293"/>
            <w:tcMar>
              <w:top w:w="90" w:type="dxa"/>
              <w:start w:w="100" w:type="dxa"/>
              <w:bottom w:w="90" w:type="dxa"/>
              <w:end w:w="100" w:type="dxa"/>
            </w:tcMar>
            <w:vAlign w:val="top"/>
          </w:tcPr>
          <w:p>
            <w:pPr>
              <w:spacing w:after="0"/>
            </w:pPr>
            <w:r>
              <w:t>Provider configuration, encrypted secrets, capability enablement, execution and normalized provider facts.</w:t>
            </w:r>
          </w:p>
        </w:tc>
        <w:tc>
          <w:tcPr>
            <w:tcW w:type="dxa" w:w="3293"/>
            <w:tcMar>
              <w:top w:w="90" w:type="dxa"/>
              <w:start w:w="100" w:type="dxa"/>
              <w:bottom w:w="90" w:type="dxa"/>
              <w:end w:w="100" w:type="dxa"/>
            </w:tcMar>
            <w:vAlign w:val="top"/>
          </w:tcPr>
          <w:p>
            <w:pPr>
              <w:spacing w:after="0"/>
            </w:pPr>
            <w:r>
              <w:t>Framework-specific implementation conclusions; Asset vulnerability lifecycle.</w:t>
            </w:r>
          </w:p>
        </w:tc>
      </w:tr>
      <w:tr>
        <w:trPr>
          <w:cantSplit/>
        </w:trPr>
        <w:tc>
          <w:tcPr>
            <w:tcW w:type="dxa" w:w="3293"/>
            <w:tcMar>
              <w:top w:w="90" w:type="dxa"/>
              <w:start w:w="100" w:type="dxa"/>
              <w:bottom w:w="90" w:type="dxa"/>
              <w:end w:w="100" w:type="dxa"/>
            </w:tcMar>
            <w:vAlign w:val="top"/>
          </w:tcPr>
          <w:p>
            <w:pPr>
              <w:spacing w:after="0"/>
            </w:pPr>
            <w:r>
              <w:t>Asset Management</w:t>
            </w:r>
          </w:p>
        </w:tc>
        <w:tc>
          <w:tcPr>
            <w:tcW w:type="dxa" w:w="3293"/>
            <w:tcMar>
              <w:top w:w="90" w:type="dxa"/>
              <w:start w:w="100" w:type="dxa"/>
              <w:bottom w:w="90" w:type="dxa"/>
              <w:end w:w="100" w:type="dxa"/>
            </w:tcMar>
            <w:vAlign w:val="top"/>
          </w:tcPr>
          <w:p>
            <w:pPr>
              <w:spacing w:after="0"/>
            </w:pPr>
            <w:r>
              <w:t>Assets, asset-to-integration mapping where domain relevant, vulnerability findings/exposure lifecycle.</w:t>
            </w:r>
          </w:p>
        </w:tc>
        <w:tc>
          <w:tcPr>
            <w:tcW w:type="dxa" w:w="3293"/>
            <w:tcMar>
              <w:top w:w="90" w:type="dxa"/>
              <w:start w:w="100" w:type="dxa"/>
              <w:bottom w:w="90" w:type="dxa"/>
              <w:end w:w="100" w:type="dxa"/>
            </w:tcMar>
            <w:vAlign w:val="top"/>
          </w:tcPr>
          <w:p>
            <w:pPr>
              <w:spacing w:after="0"/>
            </w:pPr>
            <w:r>
              <w:t>Provider credentials/scheduler/control plane.</w:t>
            </w:r>
          </w:p>
        </w:tc>
      </w:tr>
      <w:tr>
        <w:trPr>
          <w:cantSplit/>
        </w:trPr>
        <w:tc>
          <w:tcPr>
            <w:tcW w:type="dxa" w:w="3293"/>
            <w:tcMar>
              <w:top w:w="90" w:type="dxa"/>
              <w:start w:w="100" w:type="dxa"/>
              <w:bottom w:w="90" w:type="dxa"/>
              <w:end w:w="100" w:type="dxa"/>
            </w:tcMar>
            <w:vAlign w:val="top"/>
          </w:tcPr>
          <w:p>
            <w:pPr>
              <w:spacing w:after="0"/>
            </w:pPr>
            <w:r>
              <w:t>Control Management</w:t>
            </w:r>
          </w:p>
        </w:tc>
        <w:tc>
          <w:tcPr>
            <w:tcW w:type="dxa" w:w="3293"/>
            <w:tcMar>
              <w:top w:w="90" w:type="dxa"/>
              <w:start w:w="100" w:type="dxa"/>
              <w:bottom w:w="90" w:type="dxa"/>
              <w:end w:w="100" w:type="dxa"/>
            </w:tcMar>
            <w:vAlign w:val="top"/>
          </w:tcPr>
          <w:p>
            <w:pPr>
              <w:spacing w:after="0"/>
            </w:pPr>
            <w:r>
              <w:t>Adopted Controls, tests, test runs, evidence, issues/exceptions, implementation status.</w:t>
            </w:r>
          </w:p>
        </w:tc>
        <w:tc>
          <w:tcPr>
            <w:tcW w:type="dxa" w:w="3293"/>
            <w:tcMar>
              <w:top w:w="90" w:type="dxa"/>
              <w:start w:w="100" w:type="dxa"/>
              <w:bottom w:w="90" w:type="dxa"/>
              <w:end w:w="100" w:type="dxa"/>
            </w:tcMar>
            <w:vAlign w:val="top"/>
          </w:tcPr>
          <w:p>
            <w:pPr>
              <w:spacing w:after="0"/>
            </w:pPr>
            <w:r>
              <w:t>Provider API credentials or provider-specific raw collection logic.</w:t>
            </w:r>
          </w:p>
        </w:tc>
      </w:tr>
      <w:tr>
        <w:trPr>
          <w:cantSplit/>
        </w:trPr>
        <w:tc>
          <w:tcPr>
            <w:tcW w:type="dxa" w:w="3293"/>
            <w:tcMar>
              <w:top w:w="90" w:type="dxa"/>
              <w:start w:w="100" w:type="dxa"/>
              <w:bottom w:w="90" w:type="dxa"/>
              <w:end w:w="100" w:type="dxa"/>
            </w:tcMar>
            <w:vAlign w:val="top"/>
          </w:tcPr>
          <w:p>
            <w:pPr>
              <w:spacing w:after="0"/>
            </w:pPr>
            <w:r>
              <w:t>intel_core</w:t>
            </w:r>
          </w:p>
        </w:tc>
        <w:tc>
          <w:tcPr>
            <w:tcW w:type="dxa" w:w="3293"/>
            <w:tcMar>
              <w:top w:w="90" w:type="dxa"/>
              <w:start w:w="100" w:type="dxa"/>
              <w:bottom w:w="90" w:type="dxa"/>
              <w:end w:w="100" w:type="dxa"/>
            </w:tcMar>
            <w:vAlign w:val="top"/>
          </w:tcPr>
          <w:p>
            <w:pPr>
              <w:spacing w:after="0"/>
            </w:pPr>
            <w:r>
              <w:t>Canonical Controls, framework mappings and automation-rule intelligence.</w:t>
            </w:r>
          </w:p>
        </w:tc>
        <w:tc>
          <w:tcPr>
            <w:tcW w:type="dxa" w:w="3293"/>
            <w:tcMar>
              <w:top w:w="90" w:type="dxa"/>
              <w:start w:w="100" w:type="dxa"/>
              <w:bottom w:w="90" w:type="dxa"/>
              <w:end w:w="100" w:type="dxa"/>
            </w:tcMar>
            <w:vAlign w:val="top"/>
          </w:tcPr>
          <w:p>
            <w:pPr>
              <w:spacing w:after="0"/>
            </w:pPr>
            <w:r>
              <w:t>Tenant connection state or organisation implementation decisions.</w:t>
            </w:r>
          </w:p>
        </w:tc>
      </w:tr>
    </w:tbl>
    <w:p>
      <w:pPr>
        <w:spacing w:after="20"/>
      </w:pPr>
    </w:p>
    <w:p>
      <w:pPr>
        <w:pStyle w:val="Heading1"/>
        <w:keepNext/>
      </w:pPr>
      <w:r>
        <w:t>3. Database model</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Table</w:t>
            </w:r>
          </w:p>
        </w:tc>
        <w:tc>
          <w:tcPr>
            <w:tcW w:type="dxa" w:w="4939"/>
            <w:shd w:fill="4B0983"/>
            <w:tcMar>
              <w:top w:w="90" w:type="dxa"/>
              <w:start w:w="100" w:type="dxa"/>
              <w:bottom w:w="90" w:type="dxa"/>
              <w:end w:w="100" w:type="dxa"/>
            </w:tcMar>
            <w:vAlign w:val="center"/>
          </w:tcPr>
          <w:p>
            <w:r>
              <w:rPr>
                <w:b/>
                <w:color w:val="FFFFFF"/>
              </w:rPr>
              <w:t>Purpose</w:t>
            </w:r>
          </w:p>
        </w:tc>
      </w:tr>
      <w:tr>
        <w:trPr>
          <w:cantSplit/>
        </w:trPr>
        <w:tc>
          <w:tcPr>
            <w:tcW w:type="dxa" w:w="4939"/>
            <w:tcMar>
              <w:top w:w="90" w:type="dxa"/>
              <w:start w:w="100" w:type="dxa"/>
              <w:bottom w:w="90" w:type="dxa"/>
              <w:end w:w="100" w:type="dxa"/>
            </w:tcMar>
            <w:vAlign w:val="top"/>
          </w:tcPr>
          <w:p>
            <w:pPr>
              <w:spacing w:after="0"/>
            </w:pPr>
            <w:r>
              <w:t>integration_providers</w:t>
            </w:r>
          </w:p>
        </w:tc>
        <w:tc>
          <w:tcPr>
            <w:tcW w:type="dxa" w:w="4939"/>
            <w:tcMar>
              <w:top w:w="90" w:type="dxa"/>
              <w:start w:w="100" w:type="dxa"/>
              <w:bottom w:w="90" w:type="dxa"/>
              <w:end w:w="100" w:type="dxa"/>
            </w:tcMar>
            <w:vAlign w:val="top"/>
          </w:tcPr>
          <w:p>
            <w:pPr>
              <w:spacing w:after="0"/>
            </w:pPr>
            <w:r>
              <w:t>Provider catalogue (for example microsoft, qualys).</w:t>
            </w:r>
          </w:p>
        </w:tc>
      </w:tr>
      <w:tr>
        <w:trPr>
          <w:cantSplit/>
        </w:trPr>
        <w:tc>
          <w:tcPr>
            <w:tcW w:type="dxa" w:w="4939"/>
            <w:tcMar>
              <w:top w:w="90" w:type="dxa"/>
              <w:start w:w="100" w:type="dxa"/>
              <w:bottom w:w="90" w:type="dxa"/>
              <w:end w:w="100" w:type="dxa"/>
            </w:tcMar>
            <w:vAlign w:val="top"/>
          </w:tcPr>
          <w:p>
            <w:pPr>
              <w:spacing w:after="0"/>
            </w:pPr>
            <w:r>
              <w:t>integration_capability_catalog</w:t>
            </w:r>
          </w:p>
        </w:tc>
        <w:tc>
          <w:tcPr>
            <w:tcW w:type="dxa" w:w="4939"/>
            <w:tcMar>
              <w:top w:w="90" w:type="dxa"/>
              <w:start w:w="100" w:type="dxa"/>
              <w:bottom w:w="90" w:type="dxa"/>
              <w:end w:w="100" w:type="dxa"/>
            </w:tcMar>
            <w:vAlign w:val="top"/>
          </w:tcPr>
          <w:p>
            <w:pPr>
              <w:spacing w:after="0"/>
            </w:pPr>
            <w:r>
              <w:t>Global capability definitions such as microsoft.entra_identity.</w:t>
            </w:r>
          </w:p>
        </w:tc>
      </w:tr>
      <w:tr>
        <w:trPr>
          <w:cantSplit/>
        </w:trPr>
        <w:tc>
          <w:tcPr>
            <w:tcW w:type="dxa" w:w="4939"/>
            <w:tcMar>
              <w:top w:w="90" w:type="dxa"/>
              <w:start w:w="100" w:type="dxa"/>
              <w:bottom w:w="90" w:type="dxa"/>
              <w:end w:w="100" w:type="dxa"/>
            </w:tcMar>
            <w:vAlign w:val="top"/>
          </w:tcPr>
          <w:p>
            <w:pPr>
              <w:spacing w:after="0"/>
            </w:pPr>
            <w:r>
              <w:t>integration_connections</w:t>
            </w:r>
          </w:p>
        </w:tc>
        <w:tc>
          <w:tcPr>
            <w:tcW w:type="dxa" w:w="4939"/>
            <w:tcMar>
              <w:top w:w="90" w:type="dxa"/>
              <w:start w:w="100" w:type="dxa"/>
              <w:bottom w:w="90" w:type="dxa"/>
              <w:end w:w="100" w:type="dxa"/>
            </w:tcMar>
            <w:vAlign w:val="top"/>
          </w:tcPr>
          <w:p>
            <w:pPr>
              <w:spacing w:after="0"/>
            </w:pPr>
            <w:r>
              <w:t>Tenant provider connection configuration and lifecycle state.</w:t>
            </w:r>
          </w:p>
        </w:tc>
      </w:tr>
      <w:tr>
        <w:trPr>
          <w:cantSplit/>
        </w:trPr>
        <w:tc>
          <w:tcPr>
            <w:tcW w:type="dxa" w:w="4939"/>
            <w:tcMar>
              <w:top w:w="90" w:type="dxa"/>
              <w:start w:w="100" w:type="dxa"/>
              <w:bottom w:w="90" w:type="dxa"/>
              <w:end w:w="100" w:type="dxa"/>
            </w:tcMar>
            <w:vAlign w:val="top"/>
          </w:tcPr>
          <w:p>
            <w:pPr>
              <w:spacing w:after="0"/>
            </w:pPr>
            <w:r>
              <w:t>integration_credentials</w:t>
            </w:r>
          </w:p>
        </w:tc>
        <w:tc>
          <w:tcPr>
            <w:tcW w:type="dxa" w:w="4939"/>
            <w:tcMar>
              <w:top w:w="90" w:type="dxa"/>
              <w:start w:w="100" w:type="dxa"/>
              <w:bottom w:w="90" w:type="dxa"/>
              <w:end w:w="100" w:type="dxa"/>
            </w:tcMar>
            <w:vAlign w:val="top"/>
          </w:tcPr>
          <w:p>
            <w:pPr>
              <w:spacing w:after="0"/>
            </w:pPr>
            <w:r>
              <w:t>Encrypted credential material associated with a connection.</w:t>
            </w:r>
          </w:p>
        </w:tc>
      </w:tr>
      <w:tr>
        <w:trPr>
          <w:cantSplit/>
        </w:trPr>
        <w:tc>
          <w:tcPr>
            <w:tcW w:type="dxa" w:w="4939"/>
            <w:tcMar>
              <w:top w:w="90" w:type="dxa"/>
              <w:start w:w="100" w:type="dxa"/>
              <w:bottom w:w="90" w:type="dxa"/>
              <w:end w:w="100" w:type="dxa"/>
            </w:tcMar>
            <w:vAlign w:val="top"/>
          </w:tcPr>
          <w:p>
            <w:pPr>
              <w:spacing w:after="0"/>
            </w:pPr>
            <w:r>
              <w:t>integration_capabilities</w:t>
            </w:r>
          </w:p>
        </w:tc>
        <w:tc>
          <w:tcPr>
            <w:tcW w:type="dxa" w:w="4939"/>
            <w:tcMar>
              <w:top w:w="90" w:type="dxa"/>
              <w:start w:w="100" w:type="dxa"/>
              <w:bottom w:w="90" w:type="dxa"/>
              <w:end w:w="100" w:type="dxa"/>
            </w:tcMar>
            <w:vAlign w:val="top"/>
          </w:tcPr>
          <w:p>
            <w:pPr>
              <w:spacing w:after="0"/>
            </w:pPr>
            <w:r>
              <w:t>Enabled/disabled capability state per connection, including last-run metadata.</w:t>
            </w:r>
          </w:p>
        </w:tc>
      </w:tr>
      <w:tr>
        <w:trPr>
          <w:cantSplit/>
        </w:trPr>
        <w:tc>
          <w:tcPr>
            <w:tcW w:type="dxa" w:w="4939"/>
            <w:tcMar>
              <w:top w:w="90" w:type="dxa"/>
              <w:start w:w="100" w:type="dxa"/>
              <w:bottom w:w="90" w:type="dxa"/>
              <w:end w:w="100" w:type="dxa"/>
            </w:tcMar>
            <w:vAlign w:val="top"/>
          </w:tcPr>
          <w:p>
            <w:pPr>
              <w:spacing w:after="0"/>
            </w:pPr>
            <w:r>
              <w:t>integration_jobs</w:t>
            </w:r>
          </w:p>
        </w:tc>
        <w:tc>
          <w:tcPr>
            <w:tcW w:type="dxa" w:w="4939"/>
            <w:tcMar>
              <w:top w:w="90" w:type="dxa"/>
              <w:start w:w="100" w:type="dxa"/>
              <w:bottom w:w="90" w:type="dxa"/>
              <w:end w:w="100" w:type="dxa"/>
            </w:tcMar>
            <w:vAlign w:val="top"/>
          </w:tcPr>
          <w:p>
            <w:pPr>
              <w:spacing w:after="0"/>
            </w:pPr>
            <w:r>
              <w:t>Queued/running/completed background work.</w:t>
            </w:r>
          </w:p>
        </w:tc>
      </w:tr>
      <w:tr>
        <w:trPr>
          <w:cantSplit/>
        </w:trPr>
        <w:tc>
          <w:tcPr>
            <w:tcW w:type="dxa" w:w="4939"/>
            <w:tcMar>
              <w:top w:w="90" w:type="dxa"/>
              <w:start w:w="100" w:type="dxa"/>
              <w:bottom w:w="90" w:type="dxa"/>
              <w:end w:w="100" w:type="dxa"/>
            </w:tcMar>
            <w:vAlign w:val="top"/>
          </w:tcPr>
          <w:p>
            <w:pPr>
              <w:spacing w:after="0"/>
            </w:pPr>
            <w:r>
              <w:t>integration_runs</w:t>
            </w:r>
          </w:p>
        </w:tc>
        <w:tc>
          <w:tcPr>
            <w:tcW w:type="dxa" w:w="4939"/>
            <w:tcMar>
              <w:top w:w="90" w:type="dxa"/>
              <w:start w:w="100" w:type="dxa"/>
              <w:bottom w:w="90" w:type="dxa"/>
              <w:end w:w="100" w:type="dxa"/>
            </w:tcMar>
            <w:vAlign w:val="top"/>
          </w:tcPr>
          <w:p>
            <w:pPr>
              <w:spacing w:after="0"/>
            </w:pPr>
            <w:r>
              <w:t>Execution history and aggregate counts/result.</w:t>
            </w:r>
          </w:p>
        </w:tc>
      </w:tr>
      <w:tr>
        <w:trPr>
          <w:cantSplit/>
        </w:trPr>
        <w:tc>
          <w:tcPr>
            <w:tcW w:type="dxa" w:w="4939"/>
            <w:tcMar>
              <w:top w:w="90" w:type="dxa"/>
              <w:start w:w="100" w:type="dxa"/>
              <w:bottom w:w="90" w:type="dxa"/>
              <w:end w:w="100" w:type="dxa"/>
            </w:tcMar>
            <w:vAlign w:val="top"/>
          </w:tcPr>
          <w:p>
            <w:pPr>
              <w:spacing w:after="0"/>
            </w:pPr>
            <w:r>
              <w:t>integration_run_metrics</w:t>
            </w:r>
          </w:p>
        </w:tc>
        <w:tc>
          <w:tcPr>
            <w:tcW w:type="dxa" w:w="4939"/>
            <w:tcMar>
              <w:top w:w="90" w:type="dxa"/>
              <w:start w:w="100" w:type="dxa"/>
              <w:bottom w:w="90" w:type="dxa"/>
              <w:end w:w="100" w:type="dxa"/>
            </w:tcMar>
            <w:vAlign w:val="top"/>
          </w:tcPr>
          <w:p>
            <w:pPr>
              <w:spacing w:after="0"/>
            </w:pPr>
            <w:r>
              <w:t>Per-run stream/metric detail.</w:t>
            </w:r>
          </w:p>
        </w:tc>
      </w:tr>
      <w:tr>
        <w:trPr>
          <w:cantSplit/>
        </w:trPr>
        <w:tc>
          <w:tcPr>
            <w:tcW w:type="dxa" w:w="4939"/>
            <w:tcMar>
              <w:top w:w="90" w:type="dxa"/>
              <w:start w:w="100" w:type="dxa"/>
              <w:bottom w:w="90" w:type="dxa"/>
              <w:end w:w="100" w:type="dxa"/>
            </w:tcMar>
            <w:vAlign w:val="top"/>
          </w:tcPr>
          <w:p>
            <w:pPr>
              <w:spacing w:after="0"/>
            </w:pPr>
            <w:r>
              <w:t>integration_sync_state</w:t>
            </w:r>
          </w:p>
        </w:tc>
        <w:tc>
          <w:tcPr>
            <w:tcW w:type="dxa" w:w="4939"/>
            <w:tcMar>
              <w:top w:w="90" w:type="dxa"/>
              <w:start w:w="100" w:type="dxa"/>
              <w:bottom w:w="90" w:type="dxa"/>
              <w:end w:w="100" w:type="dxa"/>
            </w:tcMar>
            <w:vAlign w:val="top"/>
          </w:tcPr>
          <w:p>
            <w:pPr>
              <w:spacing w:after="0"/>
            </w:pPr>
            <w:r>
              <w:t>Per-capability/per-stream watermark and last-success state.</w:t>
            </w:r>
          </w:p>
        </w:tc>
      </w:tr>
      <w:tr>
        <w:trPr>
          <w:cantSplit/>
        </w:trPr>
        <w:tc>
          <w:tcPr>
            <w:tcW w:type="dxa" w:w="4939"/>
            <w:tcMar>
              <w:top w:w="90" w:type="dxa"/>
              <w:start w:w="100" w:type="dxa"/>
              <w:bottom w:w="90" w:type="dxa"/>
              <w:end w:w="100" w:type="dxa"/>
            </w:tcMar>
            <w:vAlign w:val="top"/>
          </w:tcPr>
          <w:p>
            <w:pPr>
              <w:spacing w:after="0"/>
            </w:pPr>
            <w:r>
              <w:t>integration_observations</w:t>
            </w:r>
          </w:p>
        </w:tc>
        <w:tc>
          <w:tcPr>
            <w:tcW w:type="dxa" w:w="4939"/>
            <w:tcMar>
              <w:top w:w="90" w:type="dxa"/>
              <w:start w:w="100" w:type="dxa"/>
              <w:bottom w:w="90" w:type="dxa"/>
              <w:end w:w="100" w:type="dxa"/>
            </w:tcMar>
            <w:vAlign w:val="top"/>
          </w:tcPr>
          <w:p>
            <w:pPr>
              <w:spacing w:after="0"/>
            </w:pPr>
            <w:r>
              <w:t>Normalized facts emitted by collectors.</w:t>
            </w:r>
          </w:p>
        </w:tc>
      </w:tr>
    </w:tbl>
    <w:p>
      <w:pPr>
        <w:spacing w:after="20"/>
      </w:pPr>
    </w:p>
    <w:p>
      <w:pPr>
        <w:spacing w:after="100"/>
      </w:pPr>
      <w:r>
        <w:t>Tenant databases follow the &lt;tenant&gt;_integration_management naming convention. New organisations should be cloned/migrated from the current Integration Management template rather than rebuilding tables ad hoc.</w:t>
      </w:r>
    </w:p>
    <w:p>
      <w:pPr>
        <w:pStyle w:val="Heading1"/>
        <w:keepNext/>
      </w:pPr>
      <w:r>
        <w:t>4. Provider and capability model</w:t>
      </w:r>
    </w:p>
    <w:p>
      <w:pPr>
        <w:spacing w:after="100"/>
      </w:pPr>
      <w:r>
        <w:t>Providers represent an external platform/account boundary. Capabilities represent separately runnable evidence/data domains beneath that provider.</w:t>
      </w:r>
    </w:p>
    <w:tbl>
      <w:tblPr>
        <w:tblStyle w:val="TableGrid"/>
        <w:tblW w:type="auto" w:w="0"/>
        <w:jc w:val="center"/>
        <w:tblLook w:firstColumn="1" w:firstRow="1" w:lastColumn="0" w:lastRow="0" w:noHBand="0" w:noVBand="1" w:val="04A0"/>
      </w:tblPr>
      <w:tblGrid>
        <w:gridCol w:w="3293"/>
        <w:gridCol w:w="3293"/>
        <w:gridCol w:w="3293"/>
      </w:tblGrid>
      <w:tr>
        <w:trPr>
          <w:tblHeader w:val="true"/>
        </w:trPr>
        <w:tc>
          <w:tcPr>
            <w:tcW w:type="dxa" w:w="3293"/>
            <w:shd w:fill="4B0983"/>
            <w:tcMar>
              <w:top w:w="90" w:type="dxa"/>
              <w:start w:w="100" w:type="dxa"/>
              <w:bottom w:w="90" w:type="dxa"/>
              <w:end w:w="100" w:type="dxa"/>
            </w:tcMar>
            <w:vAlign w:val="center"/>
          </w:tcPr>
          <w:p>
            <w:r>
              <w:rPr>
                <w:b/>
                <w:color w:val="FFFFFF"/>
              </w:rPr>
              <w:t>Provider</w:t>
            </w:r>
          </w:p>
        </w:tc>
        <w:tc>
          <w:tcPr>
            <w:tcW w:type="dxa" w:w="3293"/>
            <w:shd w:fill="4B0983"/>
            <w:tcMar>
              <w:top w:w="90" w:type="dxa"/>
              <w:start w:w="100" w:type="dxa"/>
              <w:bottom w:w="90" w:type="dxa"/>
              <w:end w:w="100" w:type="dxa"/>
            </w:tcMar>
            <w:vAlign w:val="center"/>
          </w:tcPr>
          <w:p>
            <w:r>
              <w:rPr>
                <w:b/>
                <w:color w:val="FFFFFF"/>
              </w:rPr>
              <w:t>Capability examples</w:t>
            </w:r>
          </w:p>
        </w:tc>
        <w:tc>
          <w:tcPr>
            <w:tcW w:type="dxa" w:w="3293"/>
            <w:shd w:fill="4B0983"/>
            <w:tcMar>
              <w:top w:w="90" w:type="dxa"/>
              <w:start w:w="100" w:type="dxa"/>
              <w:bottom w:w="90" w:type="dxa"/>
              <w:end w:w="100" w:type="dxa"/>
            </w:tcMar>
            <w:vAlign w:val="center"/>
          </w:tcPr>
          <w:p>
            <w:r>
              <w:rPr>
                <w:b/>
                <w:color w:val="FFFFFF"/>
              </w:rPr>
              <w:t>Rule</w:t>
            </w:r>
          </w:p>
        </w:tc>
      </w:tr>
      <w:tr>
        <w:trPr>
          <w:cantSplit/>
        </w:trPr>
        <w:tc>
          <w:tcPr>
            <w:tcW w:type="dxa" w:w="3293"/>
            <w:tcMar>
              <w:top w:w="90" w:type="dxa"/>
              <w:start w:w="100" w:type="dxa"/>
              <w:bottom w:w="90" w:type="dxa"/>
              <w:end w:w="100" w:type="dxa"/>
            </w:tcMar>
            <w:vAlign w:val="top"/>
          </w:tcPr>
          <w:p>
            <w:pPr>
              <w:spacing w:after="0"/>
            </w:pPr>
            <w:r>
              <w:t>microsoft</w:t>
            </w:r>
          </w:p>
        </w:tc>
        <w:tc>
          <w:tcPr>
            <w:tcW w:type="dxa" w:w="3293"/>
            <w:tcMar>
              <w:top w:w="90" w:type="dxa"/>
              <w:start w:w="100" w:type="dxa"/>
              <w:bottom w:w="90" w:type="dxa"/>
              <w:end w:w="100" w:type="dxa"/>
            </w:tcMar>
            <w:vAlign w:val="top"/>
          </w:tcPr>
          <w:p>
            <w:r>
              <w:t>microsoft.entra_identity; microsoft.m365_security; microsoft.intune_devices; microsoft.defender_endpoint; microsoft.azure_resources</w:t>
            </w:r>
          </w:p>
        </w:tc>
        <w:tc>
          <w:tcPr>
            <w:tcW w:type="dxa" w:w="3293"/>
            <w:tcMar>
              <w:top w:w="90" w:type="dxa"/>
              <w:start w:w="100" w:type="dxa"/>
              <w:bottom w:w="90" w:type="dxa"/>
              <w:end w:w="100" w:type="dxa"/>
            </w:tcMar>
            <w:vAlign w:val="top"/>
          </w:tcPr>
          <w:p>
            <w:r>
              <w:t>Use one Microsoft provider/tenant connection. Capabilities are independently enabled; do not create top-level entra, intune, mde or azure providers.</w:t>
            </w:r>
          </w:p>
        </w:tc>
      </w:tr>
      <w:tr>
        <w:trPr>
          <w:cantSplit/>
        </w:trPr>
        <w:tc>
          <w:tcPr>
            <w:tcW w:type="dxa" w:w="3293"/>
            <w:tcMar>
              <w:top w:w="90" w:type="dxa"/>
              <w:start w:w="100" w:type="dxa"/>
              <w:bottom w:w="90" w:type="dxa"/>
              <w:end w:w="100" w:type="dxa"/>
            </w:tcMar>
            <w:vAlign w:val="top"/>
          </w:tcPr>
          <w:p>
            <w:pPr>
              <w:spacing w:after="0"/>
            </w:pPr>
            <w:r>
              <w:t>qualys</w:t>
            </w:r>
          </w:p>
        </w:tc>
        <w:tc>
          <w:tcPr>
            <w:tcW w:type="dxa" w:w="3293"/>
            <w:tcMar>
              <w:top w:w="90" w:type="dxa"/>
              <w:start w:w="100" w:type="dxa"/>
              <w:bottom w:w="90" w:type="dxa"/>
              <w:end w:w="100" w:type="dxa"/>
            </w:tcMar>
            <w:vAlign w:val="top"/>
          </w:tcPr>
          <w:p>
            <w:pPr>
              <w:spacing w:after="0"/>
            </w:pPr>
            <w:r>
              <w:t>qualys.vulnerability_findings</w:t>
            </w:r>
          </w:p>
        </w:tc>
        <w:tc>
          <w:tcPr>
            <w:tcW w:type="dxa" w:w="3293"/>
            <w:tcMar>
              <w:top w:w="90" w:type="dxa"/>
              <w:start w:w="100" w:type="dxa"/>
              <w:bottom w:w="90" w:type="dxa"/>
              <w:end w:w="100" w:type="dxa"/>
            </w:tcMar>
            <w:vAlign w:val="top"/>
          </w:tcPr>
          <w:p>
            <w:pPr>
              <w:spacing w:after="0"/>
            </w:pPr>
            <w:r>
              <w:t>Connection/execution in Integration Management; vulnerability domain state in Asset Management.</w:t>
            </w:r>
          </w:p>
        </w:tc>
      </w:tr>
      <w:tr>
        <w:trPr>
          <w:cantSplit/>
        </w:trPr>
        <w:tc>
          <w:tcPr>
            <w:tcW w:type="dxa" w:w="3293"/>
            <w:tcMar>
              <w:top w:w="90" w:type="dxa"/>
              <w:start w:w="100" w:type="dxa"/>
              <w:bottom w:w="90" w:type="dxa"/>
              <w:end w:w="100" w:type="dxa"/>
            </w:tcMar>
            <w:vAlign w:val="top"/>
          </w:tcPr>
          <w:p>
            <w:r>
              <w:t>aws (next provider)</w:t>
            </w:r>
          </w:p>
        </w:tc>
        <w:tc>
          <w:tcPr>
            <w:tcW w:type="dxa" w:w="3293"/>
            <w:tcMar>
              <w:top w:w="90" w:type="dxa"/>
              <w:start w:w="100" w:type="dxa"/>
              <w:bottom w:w="90" w:type="dxa"/>
              <w:end w:w="100" w:type="dxa"/>
            </w:tcMar>
            <w:vAlign w:val="top"/>
          </w:tcPr>
          <w:p>
            <w:r>
              <w:t>resource inventory and security posture capabilities</w:t>
            </w:r>
          </w:p>
        </w:tc>
        <w:tc>
          <w:tcPr>
            <w:tcW w:type="dxa" w:w="3293"/>
            <w:tcMar>
              <w:top w:w="90" w:type="dxa"/>
              <w:start w:w="100" w:type="dxa"/>
              <w:bottom w:w="90" w:type="dxa"/>
              <w:end w:w="100" w:type="dxa"/>
            </w:tcMar>
            <w:vAlign w:val="top"/>
          </w:tcPr>
          <w:p>
            <w:pPr>
              <w:spacing w:after="0"/>
            </w:pPr>
            <w:r>
              <w:t>Prefer AssumeRole + external ID; avoid customer long-lived access keys.</w:t>
            </w:r>
          </w:p>
        </w:tc>
      </w:tr>
    </w:tbl>
    <w:p>
      <w:pPr>
        <w:spacing w:after="20"/>
      </w:pPr>
    </w:p>
    <w:p>
      <w:pPr>
        <w:spacing w:after="100"/>
      </w:pPr>
      <w:r>
        <w:t>The central provider registry controls product availability/stage. Tenant database state contributes connection status but must not hide an available provider merely because no tenant connection exists yet.</w:t>
      </w:r>
    </w:p>
    <w:p>
      <w:pPr>
        <w:pStyle w:val="Heading1"/>
        <w:keepNext/>
      </w:pPr>
      <w:r>
        <w:t>5. Credential and secret handling</w:t>
      </w:r>
    </w:p>
    <w:p>
      <w:pPr>
        <w:spacing w:after="100"/>
      </w:pPr>
      <w:r>
        <w:t>Credential storage uses the Integration Management secret bootstrap and the PurpleWASP master-key path. Provider-specific credential resolvers load and decrypt only when the runtime requires the secret.</w:t>
      </w:r>
    </w:p>
    <w:p>
      <w:pPr>
        <w:pStyle w:val="ListBullet"/>
        <w:spacing w:after="40"/>
      </w:pPr>
      <w:r>
        <w:t>Never persist plaintext provider secrets in integration_connections.config_json.</w:t>
      </w:r>
    </w:p>
    <w:p>
      <w:pPr>
        <w:pStyle w:val="ListBullet"/>
        <w:spacing w:after="40"/>
      </w:pPr>
      <w:r>
        <w:t>Never log client secrets, passwords or decrypted credential payloads.</w:t>
      </w:r>
    </w:p>
    <w:p>
      <w:pPr>
        <w:pStyle w:val="ListBullet"/>
        <w:spacing w:after="40"/>
      </w:pPr>
      <w:r>
        <w:t>Mask saved secrets in the UI and preserve the existing secret when a masked placeholder is posted back.</w:t>
      </w:r>
    </w:p>
    <w:p>
      <w:pPr>
        <w:pStyle w:val="ListBullet"/>
        <w:spacing w:after="40"/>
      </w:pPr>
      <w:r>
        <w:t>Share TLS/master-key/credential utilities from Integration Management; do not depend on Asset Management helper files.</w:t>
      </w:r>
    </w:p>
    <w:p>
      <w:pPr>
        <w:pStyle w:val="ListBullet"/>
        <w:spacing w:after="40"/>
      </w:pPr>
      <w:r>
        <w:t>Background workers must receive the same protected environment/master-key configuration as web requests.</w:t>
      </w:r>
    </w:p>
    <w:p>
      <w:pPr>
        <w:pStyle w:val="Heading1"/>
        <w:keepNext/>
      </w:pPr>
      <w:r>
        <w:t>6. HTTP/API boundary and administrator UI</w:t>
      </w:r>
    </w:p>
    <w:p>
      <w:pPr>
        <w:spacing w:after="100"/>
      </w:pPr>
      <w:r>
        <w:t>The administrator uses Admin → Integrations. Web endpoints under WEB_ROOT/integration_management provide the internal API used by that UI. The protected runtime code lives outside the web root under OUTSIDE_ROOT/assets/integration_management.</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Endpoint family</w:t>
            </w:r>
          </w:p>
        </w:tc>
        <w:tc>
          <w:tcPr>
            <w:tcW w:type="dxa" w:w="4939"/>
            <w:shd w:fill="4B0983"/>
            <w:tcMar>
              <w:top w:w="90" w:type="dxa"/>
              <w:start w:w="100" w:type="dxa"/>
              <w:bottom w:w="90" w:type="dxa"/>
              <w:end w:w="100" w:type="dxa"/>
            </w:tcMar>
            <w:vAlign w:val="center"/>
          </w:tcPr>
          <w:p>
            <w:r>
              <w:rPr>
                <w:b/>
                <w:color w:val="FFFFFF"/>
              </w:rPr>
              <w:t>Responsibility</w:t>
            </w:r>
          </w:p>
        </w:tc>
      </w:tr>
      <w:tr>
        <w:trPr>
          <w:cantSplit/>
        </w:trPr>
        <w:tc>
          <w:tcPr>
            <w:tcW w:type="dxa" w:w="4939"/>
            <w:tcMar>
              <w:top w:w="90" w:type="dxa"/>
              <w:start w:w="100" w:type="dxa"/>
              <w:bottom w:w="90" w:type="dxa"/>
              <w:end w:w="100" w:type="dxa"/>
            </w:tcMar>
            <w:vAlign w:val="top"/>
          </w:tcPr>
          <w:p>
            <w:pPr>
              <w:spacing w:after="0"/>
            </w:pPr>
            <w:r>
              <w:t>save_integration.php</w:t>
            </w:r>
          </w:p>
        </w:tc>
        <w:tc>
          <w:tcPr>
            <w:tcW w:type="dxa" w:w="4939"/>
            <w:tcMar>
              <w:top w:w="90" w:type="dxa"/>
              <w:start w:w="100" w:type="dxa"/>
              <w:bottom w:w="90" w:type="dxa"/>
              <w:end w:w="100" w:type="dxa"/>
            </w:tcMar>
            <w:vAlign w:val="top"/>
          </w:tcPr>
          <w:p>
            <w:pPr>
              <w:spacing w:after="0"/>
            </w:pPr>
            <w:r>
              <w:t>Validate provider availability, save connection/configuration, store encrypted credentials, optionally test before activation.</w:t>
            </w:r>
          </w:p>
        </w:tc>
      </w:tr>
      <w:tr>
        <w:trPr>
          <w:cantSplit/>
        </w:trPr>
        <w:tc>
          <w:tcPr>
            <w:tcW w:type="dxa" w:w="4939"/>
            <w:tcMar>
              <w:top w:w="90" w:type="dxa"/>
              <w:start w:w="100" w:type="dxa"/>
              <w:bottom w:w="90" w:type="dxa"/>
              <w:end w:w="100" w:type="dxa"/>
            </w:tcMar>
            <w:vAlign w:val="top"/>
          </w:tcPr>
          <w:p>
            <w:pPr>
              <w:spacing w:after="0"/>
            </w:pPr>
            <w:r>
              <w:t>test_integration.php</w:t>
            </w:r>
          </w:p>
        </w:tc>
        <w:tc>
          <w:tcPr>
            <w:tcW w:type="dxa" w:w="4939"/>
            <w:tcMar>
              <w:top w:w="90" w:type="dxa"/>
              <w:start w:w="100" w:type="dxa"/>
              <w:bottom w:w="90" w:type="dxa"/>
              <w:end w:w="100" w:type="dxa"/>
            </w:tcMar>
            <w:vAlign w:val="top"/>
          </w:tcPr>
          <w:p>
            <w:pPr>
              <w:spacing w:after="0"/>
            </w:pPr>
            <w:r>
              <w:t>Perform provider-specific connection test with friendly result semantics.</w:t>
            </w:r>
          </w:p>
        </w:tc>
      </w:tr>
      <w:tr>
        <w:trPr>
          <w:cantSplit/>
        </w:trPr>
        <w:tc>
          <w:tcPr>
            <w:tcW w:type="dxa" w:w="4939"/>
            <w:tcMar>
              <w:top w:w="90" w:type="dxa"/>
              <w:start w:w="100" w:type="dxa"/>
              <w:bottom w:w="90" w:type="dxa"/>
              <w:end w:w="100" w:type="dxa"/>
            </w:tcMar>
            <w:vAlign w:val="top"/>
          </w:tcPr>
          <w:p>
            <w:r>
              <w:t>toggle_integration.php</w:t>
            </w:r>
          </w:p>
        </w:tc>
        <w:tc>
          <w:tcPr>
            <w:tcW w:type="dxa" w:w="4939"/>
            <w:tcMar>
              <w:top w:w="90" w:type="dxa"/>
              <w:start w:w="100" w:type="dxa"/>
              <w:bottom w:w="90" w:type="dxa"/>
              <w:end w:w="100" w:type="dxa"/>
            </w:tcMar>
            <w:vAlign w:val="top"/>
          </w:tcPr>
          <w:p>
            <w:r>
              <w:t>Activate/deactivate the provider connection master state without replacing individual Microsoft capability selections.</w:t>
            </w:r>
          </w:p>
        </w:tc>
      </w:tr>
      <w:tr>
        <w:trPr>
          <w:cantSplit/>
        </w:trPr>
        <w:tc>
          <w:tcPr>
            <w:tcW w:type="dxa" w:w="4939"/>
            <w:tcMar>
              <w:top w:w="90" w:type="dxa"/>
              <w:start w:w="100" w:type="dxa"/>
              <w:bottom w:w="90" w:type="dxa"/>
              <w:end w:w="100" w:type="dxa"/>
            </w:tcMar>
            <w:vAlign w:val="top"/>
          </w:tcPr>
          <w:p>
            <w:pPr>
              <w:spacing w:after="0"/>
            </w:pPr>
            <w:r>
              <w:t>run_integration.php</w:t>
            </w:r>
          </w:p>
        </w:tc>
        <w:tc>
          <w:tcPr>
            <w:tcW w:type="dxa" w:w="4939"/>
            <w:tcMar>
              <w:top w:w="90" w:type="dxa"/>
              <w:start w:w="100" w:type="dxa"/>
              <w:bottom w:w="90" w:type="dxa"/>
              <w:end w:w="100" w:type="dxa"/>
            </w:tcMar>
            <w:vAlign w:val="top"/>
          </w:tcPr>
          <w:p>
            <w:pPr>
              <w:spacing w:after="0"/>
            </w:pPr>
            <w:r>
              <w:t>Queue manual execution rather than performing the full provider API call synchronously.</w:t>
            </w:r>
          </w:p>
        </w:tc>
      </w:tr>
      <w:tr>
        <w:trPr>
          <w:cantSplit/>
        </w:trPr>
        <w:tc>
          <w:tcPr>
            <w:tcW w:type="dxa" w:w="4939"/>
            <w:tcMar>
              <w:top w:w="90" w:type="dxa"/>
              <w:start w:w="100" w:type="dxa"/>
              <w:bottom w:w="90" w:type="dxa"/>
              <w:end w:w="100" w:type="dxa"/>
            </w:tcMar>
            <w:vAlign w:val="top"/>
          </w:tcPr>
          <w:p>
            <w:pPr>
              <w:spacing w:after="0"/>
            </w:pPr>
            <w:r>
              <w:t>get_integration_job.php</w:t>
            </w:r>
          </w:p>
        </w:tc>
        <w:tc>
          <w:tcPr>
            <w:tcW w:type="dxa" w:w="4939"/>
            <w:tcMar>
              <w:top w:w="90" w:type="dxa"/>
              <w:start w:w="100" w:type="dxa"/>
              <w:bottom w:w="90" w:type="dxa"/>
              <w:end w:w="100" w:type="dxa"/>
            </w:tcMar>
            <w:vAlign w:val="top"/>
          </w:tcPr>
          <w:p>
            <w:pPr>
              <w:spacing w:after="0"/>
            </w:pPr>
            <w:r>
              <w:t>Poll background job state.</w:t>
            </w:r>
          </w:p>
        </w:tc>
      </w:tr>
      <w:tr>
        <w:trPr>
          <w:cantSplit/>
        </w:trPr>
        <w:tc>
          <w:tcPr>
            <w:tcW w:type="dxa" w:w="4939"/>
            <w:tcMar>
              <w:top w:w="90" w:type="dxa"/>
              <w:start w:w="100" w:type="dxa"/>
              <w:bottom w:w="90" w:type="dxa"/>
              <w:end w:w="100" w:type="dxa"/>
            </w:tcMar>
            <w:vAlign w:val="top"/>
          </w:tcPr>
          <w:p>
            <w:pPr>
              <w:spacing w:after="0"/>
            </w:pPr>
            <w:r>
              <w:t>get_integration_overview.php</w:t>
            </w:r>
          </w:p>
        </w:tc>
        <w:tc>
          <w:tcPr>
            <w:tcW w:type="dxa" w:w="4939"/>
            <w:tcMar>
              <w:top w:w="90" w:type="dxa"/>
              <w:start w:w="100" w:type="dxa"/>
              <w:bottom w:w="90" w:type="dxa"/>
              <w:end w:w="100" w:type="dxa"/>
            </w:tcMar>
            <w:vAlign w:val="top"/>
          </w:tcPr>
          <w:p>
            <w:pPr>
              <w:spacing w:after="0"/>
            </w:pPr>
            <w:r>
              <w:t>Read runtime/job/run/consumer-domain summaries for the connection.</w:t>
            </w:r>
          </w:p>
        </w:tc>
      </w:tr>
      <w:tr>
        <w:trPr>
          <w:cantSplit/>
        </w:trPr>
        <w:tc>
          <w:tcPr>
            <w:tcW w:type="dxa" w:w="4939"/>
            <w:tcMar>
              <w:top w:w="90" w:type="dxa"/>
              <w:start w:w="100" w:type="dxa"/>
              <w:bottom w:w="90" w:type="dxa"/>
              <w:end w:w="100" w:type="dxa"/>
            </w:tcMar>
            <w:vAlign w:val="top"/>
          </w:tcPr>
          <w:p>
            <w:pPr>
              <w:spacing w:after="0"/>
            </w:pPr>
            <w:r>
              <w:t>get_integration_runtime_status.php</w:t>
            </w:r>
          </w:p>
        </w:tc>
        <w:tc>
          <w:tcPr>
            <w:tcW w:type="dxa" w:w="4939"/>
            <w:tcMar>
              <w:top w:w="90" w:type="dxa"/>
              <w:start w:w="100" w:type="dxa"/>
              <w:bottom w:w="90" w:type="dxa"/>
              <w:end w:w="100" w:type="dxa"/>
            </w:tcMar>
            <w:vAlign w:val="top"/>
          </w:tcPr>
          <w:p>
            <w:pPr>
              <w:spacing w:after="0"/>
            </w:pPr>
            <w:r>
              <w:t>Read shared runtime readiness/heartbeat state.</w:t>
            </w:r>
          </w:p>
        </w:tc>
      </w:tr>
      <w:tr>
        <w:tc>
          <w:tcPr>
            <w:tcW w:type="dxa" w:w="4939"/>
          </w:tcPr>
          <w:p>
            <w:r>
              <w:t>toggle_integration_capability.php</w:t>
            </w:r>
          </w:p>
        </w:tc>
        <w:tc>
          <w:tcPr>
            <w:tcW w:type="dxa" w:w="4939"/>
          </w:tcPr>
          <w:p>
            <w:r>
              <w:t>Enable/disable an individual capability. Run Sync and the scheduler queue only capabilities whose is_enabled state is true.</w:t>
            </w:r>
          </w:p>
        </w:tc>
      </w:tr>
    </w:tbl>
    <w:p>
      <w:pPr>
        <w:spacing w:after="20"/>
      </w:pPr>
    </w:p>
    <w:tbl>
      <w:tblPr>
        <w:tblW w:type="auto" w:w="0"/>
        <w:jc w:val="center"/>
        <w:tblLook w:firstColumn="1" w:firstRow="1" w:lastColumn="0" w:lastRow="0" w:noHBand="0" w:noVBand="1" w:val="04A0"/>
      </w:tblPr>
      <w:tblGrid>
        <w:gridCol w:w="9878"/>
      </w:tblGrid>
      <w:tr>
        <w:tc>
          <w:tcPr>
            <w:tcW w:type="dxa" w:w="9878"/>
            <w:shd w:fill="F2EAF8"/>
            <w:tcMar>
              <w:top w:w="120" w:type="dxa"/>
              <w:start w:w="140" w:type="dxa"/>
              <w:bottom w:w="120" w:type="dxa"/>
              <w:end w:w="140" w:type="dxa"/>
            </w:tcMar>
          </w:tcPr>
          <w:p>
            <w:pPr>
              <w:spacing w:after="0"/>
            </w:pPr>
            <w:r>
              <w:rPr>
                <w:b/>
                <w:color w:val="4B0983"/>
              </w:rPr>
              <w:t>UI error contract</w:t>
              <w:br/>
            </w:r>
            <w:r>
              <w:t>User-facing integration failures should be friendly and actionable. Raw PHP, SQL, stack traces and secrets belong in protected logs, not in the browser response.</w:t>
            </w:r>
          </w:p>
        </w:tc>
      </w:tr>
    </w:tbl>
    <w:p>
      <w:pPr>
        <w:spacing w:after="20"/>
      </w:pPr>
    </w:p>
    <w:p>
      <w:pPr>
        <w:pStyle w:val="Heading1"/>
        <w:keepNext/>
      </w:pPr>
      <w:r>
        <w:t>7. Job, scheduler and worker runtime</w:t>
      </w:r>
    </w:p>
    <w:p>
      <w:pPr>
        <w:spacing w:after="100"/>
      </w:pPr>
      <w:r>
        <w:t>Manual and scheduled execution converge on integration_jobs. The scheduler only discovers due work and queues jobs. The persistent worker claims queued jobs and performs provider execution.</w:t>
      </w:r>
    </w:p>
    <w:tbl>
      <w:tblPr>
        <w:tblW w:type="auto" w:w="0"/>
        <w:tblLook w:firstColumn="1" w:firstRow="1" w:lastColumn="0" w:lastRow="0" w:noHBand="0" w:noVBand="1" w:val="04A0"/>
      </w:tblPr>
      <w:tblGrid>
        <w:gridCol w:w="9878"/>
      </w:tblGrid>
      <w:tr>
        <w:tc>
          <w:tcPr>
            <w:tcW w:type="dxa" w:w="9878"/>
            <w:shd w:fill="F6F6F8"/>
            <w:tcMar>
              <w:top w:w="80" w:type="dxa"/>
              <w:start w:w="120" w:type="dxa"/>
              <w:bottom w:w="80" w:type="dxa"/>
              <w:end w:w="120" w:type="dxa"/>
            </w:tcMar>
          </w:tcPr>
          <w:p>
            <w:pPr>
              <w:spacing w:after="0"/>
            </w:pPr>
            <w:r>
              <w:rPr>
                <w:rFonts w:ascii="Courier New" w:hAnsi="Courier New"/>
                <w:sz w:val="17"/>
              </w:rPr>
              <w:t>manual Run Sync ─┐</w:t>
              <w:br/>
              <w:t xml:space="preserve">                 ├─&gt; integration_jobs ─&gt; integration_worker.php ─&gt; provider collector</w:t>
              <w:br/>
              <w:t>scheduler.timer ─&gt; integration_scheduler.php ─┘</w:t>
            </w:r>
          </w:p>
        </w:tc>
      </w:tr>
    </w:tbl>
    <w:p>
      <w:pPr>
        <w:spacing w:after="20"/>
      </w:pPr>
    </w:p>
    <w:p>
      <w:pPr>
        <w:pStyle w:val="ListBullet"/>
        <w:spacing w:after="40"/>
      </w:pPr>
      <w:r>
        <w:t>Scheduler responsibility: queue_due_jobs_only.</w:t>
      </w:r>
    </w:p>
    <w:p>
      <w:pPr>
        <w:pStyle w:val="ListBullet"/>
        <w:spacing w:after="40"/>
      </w:pPr>
      <w:r>
        <w:t>Worker responsibility: claim/execute jobs, create/update runs, write metrics/sync state, invoke downstream automation hooks.</w:t>
      </w:r>
    </w:p>
    <w:p>
      <w:pPr>
        <w:pStyle w:val="ListBullet"/>
        <w:spacing w:after="40"/>
      </w:pPr>
      <w:r>
        <w:t>Job payload records trigger context such as manual or schedule.</w:t>
      </w:r>
    </w:p>
    <w:p>
      <w:pPr>
        <w:pStyle w:val="ListBullet"/>
        <w:spacing w:after="40"/>
      </w:pPr>
      <w:r>
        <w:t>A scheduler process is expected to exit; a worker process is expected to remain active.</w:t>
      </w:r>
    </w:p>
    <w:p>
      <w:pPr>
        <w:pStyle w:val="Heading1"/>
        <w:keepNext/>
      </w:pPr>
      <w:r>
        <w:t>8. Observation model and normalization</w:t>
      </w:r>
    </w:p>
    <w:p>
      <w:pPr>
        <w:spacing w:after="100"/>
      </w:pPr>
      <w:r>
        <w:t>Collectors write provider facts to the canonical observation table through IntegrationObservationWriter. Observation type and stream keys isolate provider-specific facts while preserving a common execution model.</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t>Microsoft observation type / family</w:t>
            </w:r>
          </w:p>
        </w:tc>
        <w:tc>
          <w:tcPr>
            <w:tcW w:type="dxa" w:w="4939"/>
            <w:shd w:fill="4B0983"/>
            <w:tcMar>
              <w:top w:w="90" w:type="dxa"/>
              <w:start w:w="100" w:type="dxa"/>
              <w:bottom w:w="90" w:type="dxa"/>
              <w:end w:w="100" w:type="dxa"/>
            </w:tcMar>
            <w:vAlign w:val="center"/>
          </w:tcPr>
          <w:p>
            <w:r>
              <w:rPr>
                <w:b/>
                <w:color w:val="FFFFFF"/>
              </w:rPr>
              <w:t>Meaning</w:t>
            </w:r>
          </w:p>
        </w:tc>
      </w:tr>
      <w:tr>
        <w:trPr>
          <w:cantSplit/>
        </w:trPr>
        <w:tc>
          <w:tcPr>
            <w:tcW w:type="dxa" w:w="4939"/>
            <w:tcMar>
              <w:top w:w="90" w:type="dxa"/>
              <w:start w:w="100" w:type="dxa"/>
              <w:bottom w:w="90" w:type="dxa"/>
              <w:end w:w="100" w:type="dxa"/>
            </w:tcMar>
            <w:vAlign w:val="top"/>
          </w:tcPr>
          <w:p>
            <w:pPr>
              <w:spacing w:after="0"/>
            </w:pPr>
            <w:r>
              <w:t>microsoft.entra.user</w:t>
            </w:r>
          </w:p>
        </w:tc>
        <w:tc>
          <w:tcPr>
            <w:tcW w:type="dxa" w:w="4939"/>
            <w:tcMar>
              <w:top w:w="90" w:type="dxa"/>
              <w:start w:w="100" w:type="dxa"/>
              <w:bottom w:w="90" w:type="dxa"/>
              <w:end w:w="100" w:type="dxa"/>
            </w:tcMar>
            <w:vAlign w:val="top"/>
          </w:tcPr>
          <w:p>
            <w:pPr>
              <w:spacing w:after="0"/>
            </w:pPr>
            <w:r>
              <w:t>Directory user fact.</w:t>
            </w:r>
          </w:p>
        </w:tc>
      </w:tr>
      <w:tr>
        <w:trPr>
          <w:cantSplit/>
        </w:trPr>
        <w:tc>
          <w:tcPr>
            <w:tcW w:type="dxa" w:w="4939"/>
            <w:tcMar>
              <w:top w:w="90" w:type="dxa"/>
              <w:start w:w="100" w:type="dxa"/>
              <w:bottom w:w="90" w:type="dxa"/>
              <w:end w:w="100" w:type="dxa"/>
            </w:tcMar>
            <w:vAlign w:val="top"/>
          </w:tcPr>
          <w:p>
            <w:pPr>
              <w:spacing w:after="0"/>
            </w:pPr>
            <w:r>
              <w:t>microsoft.entra.role.assignment</w:t>
            </w:r>
          </w:p>
        </w:tc>
        <w:tc>
          <w:tcPr>
            <w:tcW w:type="dxa" w:w="4939"/>
            <w:tcMar>
              <w:top w:w="90" w:type="dxa"/>
              <w:start w:w="100" w:type="dxa"/>
              <w:bottom w:w="90" w:type="dxa"/>
              <w:end w:w="100" w:type="dxa"/>
            </w:tcMar>
            <w:vAlign w:val="top"/>
          </w:tcPr>
          <w:p>
            <w:pPr>
              <w:spacing w:after="0"/>
            </w:pPr>
            <w:r>
              <w:t>Directory privileged/role assignment fact.</w:t>
            </w:r>
          </w:p>
        </w:tc>
      </w:tr>
      <w:tr>
        <w:trPr>
          <w:cantSplit/>
        </w:trPr>
        <w:tc>
          <w:tcPr>
            <w:tcW w:type="dxa" w:w="4939"/>
            <w:tcMar>
              <w:top w:w="90" w:type="dxa"/>
              <w:start w:w="100" w:type="dxa"/>
              <w:bottom w:w="90" w:type="dxa"/>
              <w:end w:w="100" w:type="dxa"/>
            </w:tcMar>
            <w:vAlign w:val="top"/>
          </w:tcPr>
          <w:p>
            <w:pPr>
              <w:spacing w:after="0"/>
            </w:pPr>
            <w:r>
              <w:t>microsoft.entra.policy.security_defaults</w:t>
            </w:r>
          </w:p>
        </w:tc>
        <w:tc>
          <w:tcPr>
            <w:tcW w:type="dxa" w:w="4939"/>
            <w:tcMar>
              <w:top w:w="90" w:type="dxa"/>
              <w:start w:w="100" w:type="dxa"/>
              <w:bottom w:w="90" w:type="dxa"/>
              <w:end w:w="100" w:type="dxa"/>
            </w:tcMar>
            <w:vAlign w:val="top"/>
          </w:tcPr>
          <w:p>
            <w:pPr>
              <w:spacing w:after="0"/>
            </w:pPr>
            <w:r>
              <w:t>Security Defaults state.</w:t>
            </w:r>
          </w:p>
        </w:tc>
      </w:tr>
      <w:tr>
        <w:trPr>
          <w:cantSplit/>
        </w:trPr>
        <w:tc>
          <w:tcPr>
            <w:tcW w:type="dxa" w:w="4939"/>
            <w:tcMar>
              <w:top w:w="90" w:type="dxa"/>
              <w:start w:w="100" w:type="dxa"/>
              <w:bottom w:w="90" w:type="dxa"/>
              <w:end w:w="100" w:type="dxa"/>
            </w:tcMar>
            <w:vAlign w:val="top"/>
          </w:tcPr>
          <w:p>
            <w:pPr>
              <w:spacing w:after="0"/>
            </w:pPr>
            <w:r>
              <w:t>microsoft.entra.policy.conditional_access</w:t>
            </w:r>
          </w:p>
        </w:tc>
        <w:tc>
          <w:tcPr>
            <w:tcW w:type="dxa" w:w="4939"/>
            <w:tcMar>
              <w:top w:w="90" w:type="dxa"/>
              <w:start w:w="100" w:type="dxa"/>
              <w:bottom w:w="90" w:type="dxa"/>
              <w:end w:w="100" w:type="dxa"/>
            </w:tcMar>
            <w:vAlign w:val="top"/>
          </w:tcPr>
          <w:p>
            <w:pPr>
              <w:spacing w:after="0"/>
            </w:pPr>
            <w:r>
              <w:t>Conditional Access fact where available.</w:t>
            </w:r>
          </w:p>
        </w:tc>
      </w:tr>
      <w:tr>
        <w:trPr>
          <w:cantSplit/>
        </w:trPr>
        <w:tc>
          <w:tcPr>
            <w:tcW w:type="dxa" w:w="4939"/>
            <w:tcMar>
              <w:top w:w="90" w:type="dxa"/>
              <w:start w:w="100" w:type="dxa"/>
              <w:bottom w:w="90" w:type="dxa"/>
              <w:end w:w="100" w:type="dxa"/>
            </w:tcMar>
            <w:vAlign w:val="top"/>
          </w:tcPr>
          <w:p>
            <w:pPr>
              <w:spacing w:after="0"/>
            </w:pPr>
            <w:r>
              <w:t>microsoft.entra.mfa.registration</w:t>
            </w:r>
          </w:p>
        </w:tc>
        <w:tc>
          <w:tcPr>
            <w:tcW w:type="dxa" w:w="4939"/>
            <w:tcMar>
              <w:top w:w="90" w:type="dxa"/>
              <w:start w:w="100" w:type="dxa"/>
              <w:bottom w:w="90" w:type="dxa"/>
              <w:end w:w="100" w:type="dxa"/>
            </w:tcMar>
            <w:vAlign w:val="top"/>
          </w:tcPr>
          <w:p>
            <w:pPr>
              <w:spacing w:after="0"/>
            </w:pPr>
            <w:r>
              <w:t>Per-user MFA registration fact where available.</w:t>
            </w:r>
          </w:p>
        </w:tc>
      </w:tr>
      <w:tr>
        <w:trPr>
          <w:cantSplit/>
        </w:trPr>
        <w:tc>
          <w:tcPr>
            <w:tcW w:type="dxa" w:w="4939"/>
            <w:tcMar>
              <w:top w:w="90" w:type="dxa"/>
              <w:start w:w="100" w:type="dxa"/>
              <w:bottom w:w="90" w:type="dxa"/>
              <w:end w:w="100" w:type="dxa"/>
            </w:tcMar>
            <w:vAlign w:val="top"/>
          </w:tcPr>
          <w:p>
            <w:pPr>
              <w:spacing w:after="0"/>
            </w:pPr>
            <w:r>
              <w:t>microsoft.entra.mfa.summary</w:t>
            </w:r>
          </w:p>
        </w:tc>
        <w:tc>
          <w:tcPr>
            <w:tcW w:type="dxa" w:w="4939"/>
            <w:tcMar>
              <w:top w:w="90" w:type="dxa"/>
              <w:start w:w="100" w:type="dxa"/>
              <w:bottom w:w="90" w:type="dxa"/>
              <w:end w:w="100" w:type="dxa"/>
            </w:tcMar>
            <w:vAlign w:val="top"/>
          </w:tcPr>
          <w:p>
            <w:pPr>
              <w:spacing w:after="0"/>
            </w:pPr>
            <w:r>
              <w:t>Summary/availability semantics for MFA registration evidence.</w:t>
            </w:r>
          </w:p>
        </w:tc>
      </w:tr>
      <w:tr>
        <w:trPr>
          <w:cantSplit/>
        </w:trPr>
        <w:tc>
          <w:tcPr>
            <w:tcW w:type="dxa" w:w="4939"/>
            <w:tcMar>
              <w:top w:w="90" w:type="dxa"/>
              <w:start w:w="100" w:type="dxa"/>
              <w:bottom w:w="90" w:type="dxa"/>
              <w:end w:w="100" w:type="dxa"/>
            </w:tcMar>
            <w:vAlign w:val="top"/>
          </w:tcPr>
          <w:p>
            <w:pPr>
              <w:spacing w:after="0"/>
            </w:pPr>
            <w:r>
              <w:t>microsoft.entra.identity.summary</w:t>
            </w:r>
          </w:p>
        </w:tc>
        <w:tc>
          <w:tcPr>
            <w:tcW w:type="dxa" w:w="4939"/>
            <w:tcMar>
              <w:top w:w="90" w:type="dxa"/>
              <w:start w:w="100" w:type="dxa"/>
              <w:bottom w:w="90" w:type="dxa"/>
              <w:end w:w="100" w:type="dxa"/>
            </w:tcMar>
            <w:vAlign w:val="top"/>
          </w:tcPr>
          <w:p>
            <w:pPr>
              <w:spacing w:after="0"/>
            </w:pPr>
            <w:r>
              <w:t>Collector-level identity summary.</w:t>
            </w:r>
          </w:p>
        </w:tc>
      </w:tr>
      <w:tr>
        <w:trPr>
          <w:cantSplit/>
        </w:trPr>
        <w:tc>
          <w:tcPr>
            <w:tcW w:type="dxa" w:w="4939"/>
            <w:tcMar>
              <w:top w:w="90" w:type="dxa"/>
              <w:start w:w="100" w:type="dxa"/>
              <w:bottom w:w="90" w:type="dxa"/>
              <w:end w:w="100" w:type="dxa"/>
            </w:tcMar>
            <w:vAlign w:val="top"/>
          </w:tcPr>
          <w:p>
            <w:pPr>
              <w:spacing w:after="0"/>
            </w:pPr>
            <w:r>
              <w:t>microsoft.entra.collection_status</w:t>
            </w:r>
          </w:p>
        </w:tc>
        <w:tc>
          <w:tcPr>
            <w:tcW w:type="dxa" w:w="4939"/>
            <w:tcMar>
              <w:top w:w="90" w:type="dxa"/>
              <w:start w:w="100" w:type="dxa"/>
              <w:bottom w:w="90" w:type="dxa"/>
              <w:end w:w="100" w:type="dxa"/>
            </w:tcMar>
            <w:vAlign w:val="top"/>
          </w:tcPr>
          <w:p>
            <w:pPr>
              <w:spacing w:after="0"/>
            </w:pPr>
            <w:r>
              <w:t>Per-stream collection/availability status used to avoid false conclusions.</w:t>
            </w:r>
          </w:p>
        </w:tc>
      </w:tr>
      <w:tr>
        <w:tc>
          <w:tcPr>
            <w:tcW w:type="dxa" w:w="4939"/>
          </w:tcPr>
          <w:p>
            <w:r>
              <w:t>microsoft.m365.secure_score / control_profile / control_result</w:t>
            </w:r>
          </w:p>
        </w:tc>
        <w:tc>
          <w:tcPr>
            <w:tcW w:type="dxa" w:w="4939"/>
          </w:tcPr>
          <w:p>
            <w:r>
              <w:t>Microsoft 365 Secure Score and control-level facts.</w:t>
            </w:r>
          </w:p>
        </w:tc>
      </w:tr>
      <w:tr>
        <w:tc>
          <w:tcPr>
            <w:tcW w:type="dxa" w:w="4939"/>
          </w:tcPr>
          <w:p>
            <w:r>
              <w:t>microsoft.m365.security.summary / collection_status</w:t>
            </w:r>
          </w:p>
        </w:tc>
        <w:tc>
          <w:tcPr>
            <w:tcW w:type="dxa" w:w="4939"/>
          </w:tcPr>
          <w:p>
            <w:r>
              <w:t>M365 Security summary and per-stream availability semantics.</w:t>
            </w:r>
          </w:p>
        </w:tc>
      </w:tr>
      <w:tr>
        <w:tc>
          <w:tcPr>
            <w:tcW w:type="dxa" w:w="4939"/>
          </w:tcPr>
          <w:p>
            <w:r>
              <w:t>microsoft.intune.device / compliance_policy / device_configuration</w:t>
            </w:r>
          </w:p>
        </w:tc>
        <w:tc>
          <w:tcPr>
            <w:tcW w:type="dxa" w:w="4939"/>
          </w:tcPr>
          <w:p>
            <w:r>
              <w:t>Intune managed-device and configuration/compliance facts when the tenant is licensed and the capability is enabled.</w:t>
            </w:r>
          </w:p>
        </w:tc>
      </w:tr>
      <w:tr>
        <w:tc>
          <w:tcPr>
            <w:tcW w:type="dxa" w:w="4939"/>
          </w:tcPr>
          <w:p>
            <w:r>
              <w:t>microsoft.defender.device / vulnerability / endpoint.summary</w:t>
            </w:r>
          </w:p>
        </w:tc>
        <w:tc>
          <w:tcPr>
            <w:tcW w:type="dxa" w:w="4939"/>
          </w:tcPr>
          <w:p>
            <w:r>
              <w:t>Defender for Endpoint device/vulnerability facts when the tenant is licensed and the capability is enabled.</w:t>
            </w:r>
          </w:p>
        </w:tc>
      </w:tr>
      <w:tr>
        <w:tc>
          <w:tcPr>
            <w:tcW w:type="dxa" w:w="4939"/>
          </w:tcPr>
          <w:p>
            <w:r>
              <w:t>microsoft.azure.subscription / resource / secure_score / security_assessment</w:t>
            </w:r>
          </w:p>
        </w:tc>
        <w:tc>
          <w:tcPr>
            <w:tcW w:type="dxa" w:w="4939"/>
          </w:tcPr>
          <w:p>
            <w:r>
              <w:t>Azure inventory and security-posture facts, subject to subscription RBAC.</w:t>
            </w:r>
          </w:p>
        </w:tc>
      </w:tr>
    </w:tbl>
    <w:p>
      <w:pPr>
        <w:spacing w:after="20"/>
      </w:pPr>
    </w:p>
    <w:p>
      <w:pPr>
        <w:spacing w:after="100"/>
      </w:pPr>
      <w:r>
        <w:t>The current Free-tier acceptance tenant produced six observation families because MFA registration and sign-in activity were unavailable. The absence is represented as collection status/summary, not silently treated as a Control failure.</w:t>
      </w:r>
    </w:p>
    <w:p>
      <w:pPr>
        <w:pStyle w:val="Heading1"/>
        <w:keepNext/>
      </w:pPr>
      <w:r>
        <w:t>9. Microsoft multi-capability implementation</w:t>
      </w:r>
    </w:p>
    <w:p>
      <w:pPr>
        <w:spacing w:after="100"/>
      </w:pPr>
      <w:r>
        <w:t>Microsoft uses one shared OAuth 2.0 client-credentials connection. Graph capabilities use https://graph.microsoft.com/.default, Azure uses https://management.azure.com/.default, and Defender uses its security API token audience. Test Connection reports readiness per capability so unavailable Intune/Defender licensing does not invalidate usable Entra, Microsoft 365 Security or Azure capabilities.</w:t>
      </w:r>
    </w:p>
    <w:tbl>
      <w:tblPr>
        <w:tblStyle w:val="TableGrid"/>
        <w:tblW w:type="auto" w:w="0"/>
        <w:jc w:val="center"/>
        <w:tblLook w:firstColumn="1" w:firstRow="1" w:lastColumn="0" w:lastRow="0" w:noHBand="0" w:noVBand="1" w:val="04A0"/>
      </w:tblPr>
      <w:tblGrid>
        <w:gridCol w:w="3293"/>
        <w:gridCol w:w="3293"/>
        <w:gridCol w:w="3293"/>
      </w:tblGrid>
      <w:tr>
        <w:trPr>
          <w:tblHeader w:val="true"/>
        </w:trPr>
        <w:tc>
          <w:tcPr>
            <w:tcW w:type="dxa" w:w="3293"/>
            <w:shd w:fill="4B0983"/>
            <w:tcMar>
              <w:top w:w="90" w:type="dxa"/>
              <w:start w:w="100" w:type="dxa"/>
              <w:bottom w:w="90" w:type="dxa"/>
              <w:end w:w="100" w:type="dxa"/>
            </w:tcMar>
            <w:vAlign w:val="center"/>
          </w:tcPr>
          <w:p>
            <w:r>
              <w:rPr>
                <w:b/>
                <w:color w:val="FFFFFF"/>
              </w:rPr>
              <w:t>Required/optional</w:t>
            </w:r>
          </w:p>
        </w:tc>
        <w:tc>
          <w:tcPr>
            <w:tcW w:type="dxa" w:w="3293"/>
            <w:shd w:fill="4B0983"/>
            <w:tcMar>
              <w:top w:w="90" w:type="dxa"/>
              <w:start w:w="100" w:type="dxa"/>
              <w:bottom w:w="90" w:type="dxa"/>
              <w:end w:w="100" w:type="dxa"/>
            </w:tcMar>
            <w:vAlign w:val="center"/>
          </w:tcPr>
          <w:p>
            <w:r>
              <w:rPr>
                <w:b/>
                <w:color w:val="FFFFFF"/>
              </w:rPr>
              <w:t>Evidence/API area</w:t>
            </w:r>
          </w:p>
        </w:tc>
        <w:tc>
          <w:tcPr>
            <w:tcW w:type="dxa" w:w="3293"/>
            <w:shd w:fill="4B0983"/>
            <w:tcMar>
              <w:top w:w="90" w:type="dxa"/>
              <w:start w:w="100" w:type="dxa"/>
              <w:bottom w:w="90" w:type="dxa"/>
              <w:end w:w="100" w:type="dxa"/>
            </w:tcMar>
            <w:vAlign w:val="center"/>
          </w:tcPr>
          <w:p>
            <w:r>
              <w:rPr>
                <w:b/>
                <w:color w:val="FFFFFF"/>
              </w:rPr>
              <w:t>Failure handling</w:t>
            </w:r>
          </w:p>
        </w:tc>
      </w:tr>
      <w:tr>
        <w:trPr>
          <w:cantSplit/>
        </w:trPr>
        <w:tc>
          <w:tcPr>
            <w:tcW w:type="dxa" w:w="3293"/>
            <w:tcMar>
              <w:top w:w="90" w:type="dxa"/>
              <w:start w:w="100" w:type="dxa"/>
              <w:bottom w:w="90" w:type="dxa"/>
              <w:end w:w="100" w:type="dxa"/>
            </w:tcMar>
            <w:vAlign w:val="top"/>
          </w:tcPr>
          <w:p>
            <w:pPr>
              <w:spacing w:after="0"/>
            </w:pPr>
            <w:r>
              <w:t>Required</w:t>
            </w:r>
          </w:p>
        </w:tc>
        <w:tc>
          <w:tcPr>
            <w:tcW w:type="dxa" w:w="3293"/>
            <w:tcMar>
              <w:top w:w="90" w:type="dxa"/>
              <w:start w:w="100" w:type="dxa"/>
              <w:bottom w:w="90" w:type="dxa"/>
              <w:end w:w="100" w:type="dxa"/>
            </w:tcMar>
            <w:vAlign w:val="top"/>
          </w:tcPr>
          <w:p>
            <w:pPr>
              <w:spacing w:after="0"/>
            </w:pPr>
            <w:r>
              <w:t>Token acquisition</w:t>
            </w:r>
          </w:p>
        </w:tc>
        <w:tc>
          <w:tcPr>
            <w:tcW w:type="dxa" w:w="3293"/>
            <w:tcMar>
              <w:top w:w="90" w:type="dxa"/>
              <w:start w:w="100" w:type="dxa"/>
              <w:bottom w:w="90" w:type="dxa"/>
              <w:end w:w="100" w:type="dxa"/>
            </w:tcMar>
            <w:vAlign w:val="top"/>
          </w:tcPr>
          <w:p>
            <w:pPr>
              <w:spacing w:after="0"/>
            </w:pPr>
            <w:r>
              <w:t>Connection invalid.</w:t>
            </w:r>
          </w:p>
        </w:tc>
      </w:tr>
      <w:tr>
        <w:trPr>
          <w:cantSplit/>
        </w:trPr>
        <w:tc>
          <w:tcPr>
            <w:tcW w:type="dxa" w:w="3293"/>
            <w:tcMar>
              <w:top w:w="90" w:type="dxa"/>
              <w:start w:w="100" w:type="dxa"/>
              <w:bottom w:w="90" w:type="dxa"/>
              <w:end w:w="100" w:type="dxa"/>
            </w:tcMar>
            <w:vAlign w:val="top"/>
          </w:tcPr>
          <w:p>
            <w:pPr>
              <w:spacing w:after="0"/>
            </w:pPr>
            <w:r>
              <w:t>Required</w:t>
            </w:r>
          </w:p>
        </w:tc>
        <w:tc>
          <w:tcPr>
            <w:tcW w:type="dxa" w:w="3293"/>
            <w:tcMar>
              <w:top w:w="90" w:type="dxa"/>
              <w:start w:w="100" w:type="dxa"/>
              <w:bottom w:w="90" w:type="dxa"/>
              <w:end w:w="100" w:type="dxa"/>
            </w:tcMar>
            <w:vAlign w:val="top"/>
          </w:tcPr>
          <w:p>
            <w:pPr>
              <w:spacing w:after="0"/>
            </w:pPr>
            <w:r>
              <w:t>Users</w:t>
            </w:r>
          </w:p>
        </w:tc>
        <w:tc>
          <w:tcPr>
            <w:tcW w:type="dxa" w:w="3293"/>
            <w:tcMar>
              <w:top w:w="90" w:type="dxa"/>
              <w:start w:w="100" w:type="dxa"/>
              <w:bottom w:w="90" w:type="dxa"/>
              <w:end w:w="100" w:type="dxa"/>
            </w:tcMar>
            <w:vAlign w:val="top"/>
          </w:tcPr>
          <w:p>
            <w:pPr>
              <w:spacing w:after="0"/>
            </w:pPr>
            <w:r>
              <w:t>Connection invalid.</w:t>
            </w:r>
          </w:p>
        </w:tc>
      </w:tr>
      <w:tr>
        <w:trPr>
          <w:cantSplit/>
        </w:trPr>
        <w:tc>
          <w:tcPr>
            <w:tcW w:type="dxa" w:w="3293"/>
            <w:tcMar>
              <w:top w:w="90" w:type="dxa"/>
              <w:start w:w="100" w:type="dxa"/>
              <w:bottom w:w="90" w:type="dxa"/>
              <w:end w:w="100" w:type="dxa"/>
            </w:tcMar>
            <w:vAlign w:val="top"/>
          </w:tcPr>
          <w:p>
            <w:pPr>
              <w:spacing w:after="0"/>
            </w:pPr>
            <w:r>
              <w:t>Required</w:t>
            </w:r>
          </w:p>
        </w:tc>
        <w:tc>
          <w:tcPr>
            <w:tcW w:type="dxa" w:w="3293"/>
            <w:tcMar>
              <w:top w:w="90" w:type="dxa"/>
              <w:start w:w="100" w:type="dxa"/>
              <w:bottom w:w="90" w:type="dxa"/>
              <w:end w:w="100" w:type="dxa"/>
            </w:tcMar>
            <w:vAlign w:val="top"/>
          </w:tcPr>
          <w:p>
            <w:pPr>
              <w:spacing w:after="0"/>
            </w:pPr>
            <w:r>
              <w:t>Role assignments</w:t>
            </w:r>
          </w:p>
        </w:tc>
        <w:tc>
          <w:tcPr>
            <w:tcW w:type="dxa" w:w="3293"/>
            <w:tcMar>
              <w:top w:w="90" w:type="dxa"/>
              <w:start w:w="100" w:type="dxa"/>
              <w:bottom w:w="90" w:type="dxa"/>
              <w:end w:w="100" w:type="dxa"/>
            </w:tcMar>
            <w:vAlign w:val="top"/>
          </w:tcPr>
          <w:p>
            <w:pPr>
              <w:spacing w:after="0"/>
            </w:pPr>
            <w:r>
              <w:t>Connection invalid.</w:t>
            </w:r>
          </w:p>
        </w:tc>
      </w:tr>
      <w:tr>
        <w:trPr>
          <w:cantSplit/>
        </w:trPr>
        <w:tc>
          <w:tcPr>
            <w:tcW w:type="dxa" w:w="3293"/>
            <w:tcMar>
              <w:top w:w="90" w:type="dxa"/>
              <w:start w:w="100" w:type="dxa"/>
              <w:bottom w:w="90" w:type="dxa"/>
              <w:end w:w="100" w:type="dxa"/>
            </w:tcMar>
            <w:vAlign w:val="top"/>
          </w:tcPr>
          <w:p>
            <w:pPr>
              <w:spacing w:after="0"/>
            </w:pPr>
            <w:r>
              <w:t>Required</w:t>
            </w:r>
          </w:p>
        </w:tc>
        <w:tc>
          <w:tcPr>
            <w:tcW w:type="dxa" w:w="3293"/>
            <w:tcMar>
              <w:top w:w="90" w:type="dxa"/>
              <w:start w:w="100" w:type="dxa"/>
              <w:bottom w:w="90" w:type="dxa"/>
              <w:end w:w="100" w:type="dxa"/>
            </w:tcMar>
            <w:vAlign w:val="top"/>
          </w:tcPr>
          <w:p>
            <w:pPr>
              <w:spacing w:after="0"/>
            </w:pPr>
            <w:r>
              <w:t>Security Defaults</w:t>
            </w:r>
          </w:p>
        </w:tc>
        <w:tc>
          <w:tcPr>
            <w:tcW w:type="dxa" w:w="3293"/>
            <w:tcMar>
              <w:top w:w="90" w:type="dxa"/>
              <w:start w:w="100" w:type="dxa"/>
              <w:bottom w:w="90" w:type="dxa"/>
              <w:end w:w="100" w:type="dxa"/>
            </w:tcMar>
            <w:vAlign w:val="top"/>
          </w:tcPr>
          <w:p>
            <w:pPr>
              <w:spacing w:after="0"/>
            </w:pPr>
            <w:r>
              <w:t>Connection invalid.</w:t>
            </w:r>
          </w:p>
        </w:tc>
      </w:tr>
      <w:tr>
        <w:trPr>
          <w:cantSplit/>
        </w:trPr>
        <w:tc>
          <w:tcPr>
            <w:tcW w:type="dxa" w:w="3293"/>
            <w:tcMar>
              <w:top w:w="90" w:type="dxa"/>
              <w:start w:w="100" w:type="dxa"/>
              <w:bottom w:w="90" w:type="dxa"/>
              <w:end w:w="100" w:type="dxa"/>
            </w:tcMar>
            <w:vAlign w:val="top"/>
          </w:tcPr>
          <w:p>
            <w:pPr>
              <w:spacing w:after="0"/>
            </w:pPr>
            <w:r>
              <w:t>Optional</w:t>
            </w:r>
          </w:p>
        </w:tc>
        <w:tc>
          <w:tcPr>
            <w:tcW w:type="dxa" w:w="3293"/>
            <w:tcMar>
              <w:top w:w="90" w:type="dxa"/>
              <w:start w:w="100" w:type="dxa"/>
              <w:bottom w:w="90" w:type="dxa"/>
              <w:end w:w="100" w:type="dxa"/>
            </w:tcMar>
            <w:vAlign w:val="top"/>
          </w:tcPr>
          <w:p>
            <w:pPr>
              <w:spacing w:after="0"/>
            </w:pPr>
            <w:r>
              <w:t>MFA registration reporting</w:t>
            </w:r>
          </w:p>
        </w:tc>
        <w:tc>
          <w:tcPr>
            <w:tcW w:type="dxa" w:w="3293"/>
            <w:tcMar>
              <w:top w:w="90" w:type="dxa"/>
              <w:start w:w="100" w:type="dxa"/>
              <w:bottom w:w="90" w:type="dxa"/>
              <w:end w:w="100" w:type="dxa"/>
            </w:tcMar>
            <w:vAlign w:val="top"/>
          </w:tcPr>
          <w:p>
            <w:pPr>
              <w:spacing w:after="0"/>
            </w:pPr>
            <w:r>
              <w:t>Connected-limited; relevant MFA automation becomes inconclusive.</w:t>
            </w:r>
          </w:p>
        </w:tc>
      </w:tr>
      <w:tr>
        <w:trPr>
          <w:cantSplit/>
        </w:trPr>
        <w:tc>
          <w:tcPr>
            <w:tcW w:type="dxa" w:w="3293"/>
            <w:tcMar>
              <w:top w:w="90" w:type="dxa"/>
              <w:start w:w="100" w:type="dxa"/>
              <w:bottom w:w="90" w:type="dxa"/>
              <w:end w:w="100" w:type="dxa"/>
            </w:tcMar>
            <w:vAlign w:val="top"/>
          </w:tcPr>
          <w:p>
            <w:pPr>
              <w:spacing w:after="0"/>
            </w:pPr>
            <w:r>
              <w:t>Optional</w:t>
            </w:r>
          </w:p>
        </w:tc>
        <w:tc>
          <w:tcPr>
            <w:tcW w:type="dxa" w:w="3293"/>
            <w:tcMar>
              <w:top w:w="90" w:type="dxa"/>
              <w:start w:w="100" w:type="dxa"/>
              <w:bottom w:w="90" w:type="dxa"/>
              <w:end w:w="100" w:type="dxa"/>
            </w:tcMar>
            <w:vAlign w:val="top"/>
          </w:tcPr>
          <w:p>
            <w:pPr>
              <w:spacing w:after="0"/>
            </w:pPr>
            <w:r>
              <w:t>Conditional Access</w:t>
            </w:r>
          </w:p>
        </w:tc>
        <w:tc>
          <w:tcPr>
            <w:tcW w:type="dxa" w:w="3293"/>
            <w:tcMar>
              <w:top w:w="90" w:type="dxa"/>
              <w:start w:w="100" w:type="dxa"/>
              <w:bottom w:w="90" w:type="dxa"/>
              <w:end w:w="100" w:type="dxa"/>
            </w:tcMar>
            <w:vAlign w:val="top"/>
          </w:tcPr>
          <w:p>
            <w:pPr>
              <w:spacing w:after="0"/>
            </w:pPr>
            <w:r>
              <w:t>Connected-limited/availability recorded.</w:t>
            </w:r>
          </w:p>
        </w:tc>
      </w:tr>
      <w:tr>
        <w:trPr>
          <w:cantSplit/>
        </w:trPr>
        <w:tc>
          <w:tcPr>
            <w:tcW w:type="dxa" w:w="3293"/>
            <w:tcMar>
              <w:top w:w="90" w:type="dxa"/>
              <w:start w:w="100" w:type="dxa"/>
              <w:bottom w:w="90" w:type="dxa"/>
              <w:end w:w="100" w:type="dxa"/>
            </w:tcMar>
            <w:vAlign w:val="top"/>
          </w:tcPr>
          <w:p>
            <w:pPr>
              <w:spacing w:after="0"/>
            </w:pPr>
            <w:r>
              <w:t>Optional</w:t>
            </w:r>
          </w:p>
        </w:tc>
        <w:tc>
          <w:tcPr>
            <w:tcW w:type="dxa" w:w="3293"/>
            <w:tcMar>
              <w:top w:w="90" w:type="dxa"/>
              <w:start w:w="100" w:type="dxa"/>
              <w:bottom w:w="90" w:type="dxa"/>
              <w:end w:w="100" w:type="dxa"/>
            </w:tcMar>
            <w:vAlign w:val="top"/>
          </w:tcPr>
          <w:p>
            <w:pPr>
              <w:spacing w:after="0"/>
            </w:pPr>
            <w:r>
              <w:t>signInActivity</w:t>
            </w:r>
          </w:p>
        </w:tc>
        <w:tc>
          <w:tcPr>
            <w:tcW w:type="dxa" w:w="3293"/>
            <w:tcMar>
              <w:top w:w="90" w:type="dxa"/>
              <w:start w:w="100" w:type="dxa"/>
              <w:bottom w:w="90" w:type="dxa"/>
              <w:end w:w="100" w:type="dxa"/>
            </w:tcMar>
            <w:vAlign w:val="top"/>
          </w:tcPr>
          <w:p>
            <w:pPr>
              <w:spacing w:after="0"/>
            </w:pPr>
            <w:r>
              <w:t>Connected-limited; stale-account automation becomes inconclusive.</w:t>
            </w:r>
          </w:p>
        </w:tc>
      </w:tr>
    </w:tbl>
    <w:p>
      <w:pPr>
        <w:spacing w:after="20"/>
      </w:pP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t>Permission / access prerequisite</w:t>
            </w:r>
          </w:p>
        </w:tc>
        <w:tc>
          <w:tcPr>
            <w:tcW w:type="dxa" w:w="4939"/>
            <w:shd w:fill="4B0983"/>
            <w:tcMar>
              <w:top w:w="90" w:type="dxa"/>
              <w:start w:w="100" w:type="dxa"/>
              <w:bottom w:w="90" w:type="dxa"/>
              <w:end w:w="100" w:type="dxa"/>
            </w:tcMar>
            <w:vAlign w:val="center"/>
          </w:tcPr>
          <w:p>
            <w:r>
              <w:t>Purpose</w:t>
            </w:r>
          </w:p>
        </w:tc>
      </w:tr>
      <w:tr>
        <w:trPr>
          <w:cantSplit/>
        </w:trPr>
        <w:tc>
          <w:tcPr>
            <w:tcW w:type="dxa" w:w="4939"/>
            <w:tcMar>
              <w:top w:w="90" w:type="dxa"/>
              <w:start w:w="100" w:type="dxa"/>
              <w:bottom w:w="90" w:type="dxa"/>
              <w:end w:w="100" w:type="dxa"/>
            </w:tcMar>
            <w:vAlign w:val="top"/>
          </w:tcPr>
          <w:p>
            <w:pPr>
              <w:spacing w:after="0"/>
            </w:pPr>
            <w:r>
              <w:t>User.Read.All</w:t>
            </w:r>
          </w:p>
        </w:tc>
        <w:tc>
          <w:tcPr>
            <w:tcW w:type="dxa" w:w="4939"/>
            <w:tcMar>
              <w:top w:w="90" w:type="dxa"/>
              <w:start w:w="100" w:type="dxa"/>
              <w:bottom w:w="90" w:type="dxa"/>
              <w:end w:w="100" w:type="dxa"/>
            </w:tcMar>
            <w:vAlign w:val="top"/>
          </w:tcPr>
          <w:p>
            <w:pPr>
              <w:spacing w:after="0"/>
            </w:pPr>
            <w:r>
              <w:t>Read directory users.</w:t>
            </w:r>
          </w:p>
        </w:tc>
      </w:tr>
      <w:tr>
        <w:trPr>
          <w:cantSplit/>
        </w:trPr>
        <w:tc>
          <w:tcPr>
            <w:tcW w:type="dxa" w:w="4939"/>
            <w:tcMar>
              <w:top w:w="90" w:type="dxa"/>
              <w:start w:w="100" w:type="dxa"/>
              <w:bottom w:w="90" w:type="dxa"/>
              <w:end w:w="100" w:type="dxa"/>
            </w:tcMar>
            <w:vAlign w:val="top"/>
          </w:tcPr>
          <w:p>
            <w:pPr>
              <w:spacing w:after="0"/>
            </w:pPr>
            <w:r>
              <w:t>AuditLog.Read.All</w:t>
            </w:r>
          </w:p>
        </w:tc>
        <w:tc>
          <w:tcPr>
            <w:tcW w:type="dxa" w:w="4939"/>
            <w:tcMar>
              <w:top w:w="90" w:type="dxa"/>
              <w:start w:w="100" w:type="dxa"/>
              <w:bottom w:w="90" w:type="dxa"/>
              <w:end w:w="100" w:type="dxa"/>
            </w:tcMar>
            <w:vAlign w:val="top"/>
          </w:tcPr>
          <w:p>
            <w:pPr>
              <w:spacing w:after="0"/>
            </w:pPr>
            <w:r>
              <w:t>Read supported audit/sign-in/registration-report data.</w:t>
            </w:r>
          </w:p>
        </w:tc>
      </w:tr>
      <w:tr>
        <w:trPr>
          <w:cantSplit/>
        </w:trPr>
        <w:tc>
          <w:tcPr>
            <w:tcW w:type="dxa" w:w="4939"/>
            <w:tcMar>
              <w:top w:w="90" w:type="dxa"/>
              <w:start w:w="100" w:type="dxa"/>
              <w:bottom w:w="90" w:type="dxa"/>
              <w:end w:w="100" w:type="dxa"/>
            </w:tcMar>
            <w:vAlign w:val="top"/>
          </w:tcPr>
          <w:p>
            <w:pPr>
              <w:spacing w:after="0"/>
            </w:pPr>
            <w:r>
              <w:t>RoleManagement.Read.Directory</w:t>
            </w:r>
          </w:p>
        </w:tc>
        <w:tc>
          <w:tcPr>
            <w:tcW w:type="dxa" w:w="4939"/>
            <w:tcMar>
              <w:top w:w="90" w:type="dxa"/>
              <w:start w:w="100" w:type="dxa"/>
              <w:bottom w:w="90" w:type="dxa"/>
              <w:end w:w="100" w:type="dxa"/>
            </w:tcMar>
            <w:vAlign w:val="top"/>
          </w:tcPr>
          <w:p>
            <w:pPr>
              <w:spacing w:after="0"/>
            </w:pPr>
            <w:r>
              <w:t>Read directory role assignments.</w:t>
            </w:r>
          </w:p>
        </w:tc>
      </w:tr>
      <w:tr>
        <w:trPr>
          <w:cantSplit/>
        </w:trPr>
        <w:tc>
          <w:tcPr>
            <w:tcW w:type="dxa" w:w="4939"/>
            <w:tcMar>
              <w:top w:w="90" w:type="dxa"/>
              <w:start w:w="100" w:type="dxa"/>
              <w:bottom w:w="90" w:type="dxa"/>
              <w:end w:w="100" w:type="dxa"/>
            </w:tcMar>
            <w:vAlign w:val="top"/>
          </w:tcPr>
          <w:p>
            <w:pPr>
              <w:spacing w:after="0"/>
            </w:pPr>
            <w:r>
              <w:t>Policy.Read.All</w:t>
            </w:r>
          </w:p>
        </w:tc>
        <w:tc>
          <w:tcPr>
            <w:tcW w:type="dxa" w:w="4939"/>
            <w:tcMar>
              <w:top w:w="90" w:type="dxa"/>
              <w:start w:w="100" w:type="dxa"/>
              <w:bottom w:w="90" w:type="dxa"/>
              <w:end w:w="100" w:type="dxa"/>
            </w:tcMar>
            <w:vAlign w:val="top"/>
          </w:tcPr>
          <w:p>
            <w:pPr>
              <w:spacing w:after="0"/>
            </w:pPr>
            <w:r>
              <w:t>Read Security Defaults and policy information.</w:t>
            </w:r>
          </w:p>
        </w:tc>
      </w:tr>
      <w:tr>
        <w:tc>
          <w:tcPr>
            <w:tcW w:type="dxa" w:w="4939"/>
          </w:tcPr>
          <w:p>
            <w:r>
              <w:t>SecurityEvents.Read.All; SecurityIncident.Read.All; SecurityAlert.Read.All</w:t>
            </w:r>
          </w:p>
        </w:tc>
        <w:tc>
          <w:tcPr>
            <w:tcW w:type="dxa" w:w="4939"/>
          </w:tcPr>
          <w:p>
            <w:r>
              <w:t>Microsoft 365 Security collection. Some streams remain tenant/service provisioning dependent.</w:t>
            </w:r>
          </w:p>
        </w:tc>
      </w:tr>
      <w:tr>
        <w:tc>
          <w:tcPr>
            <w:tcW w:type="dxa" w:w="4939"/>
          </w:tcPr>
          <w:p>
            <w:r>
              <w:t>DeviceManagementManagedDevices.Read.All; DeviceManagementConfiguration.Read.All</w:t>
            </w:r>
          </w:p>
        </w:tc>
        <w:tc>
          <w:tcPr>
            <w:tcW w:type="dxa" w:w="4939"/>
          </w:tcPr>
          <w:p>
            <w:r>
              <w:t>Intune device/configuration collection; requires an active Intune service/licence.</w:t>
            </w:r>
          </w:p>
        </w:tc>
      </w:tr>
      <w:tr>
        <w:tc>
          <w:tcPr>
            <w:tcW w:type="dxa" w:w="4939"/>
          </w:tcPr>
          <w:p>
            <w:r>
              <w:t>Machine.Read.All; Vulnerability.Read.All</w:t>
            </w:r>
          </w:p>
        </w:tc>
        <w:tc>
          <w:tcPr>
            <w:tcW w:type="dxa" w:w="4939"/>
          </w:tcPr>
          <w:p>
            <w:r>
              <w:t>Defender for Endpoint machine/vulnerability collection; requires an active Defender for Endpoint licence.</w:t>
            </w:r>
          </w:p>
        </w:tc>
      </w:tr>
      <w:tr>
        <w:tc>
          <w:tcPr>
            <w:tcW w:type="dxa" w:w="4939"/>
          </w:tcPr>
          <w:p>
            <w:r>
              <w:t>Azure RBAC Reader; Security Reader where required</w:t>
            </w:r>
          </w:p>
        </w:tc>
        <w:tc>
          <w:tcPr>
            <w:tcW w:type="dxa" w:w="4939"/>
          </w:tcPr>
          <w:p>
            <w:r>
              <w:t>Azure subscription/resource inventory and Defender for Cloud posture.</w:t>
            </w:r>
          </w:p>
        </w:tc>
      </w:tr>
    </w:tbl>
    <w:p>
      <w:pPr>
        <w:spacing w:after="20"/>
      </w:pPr>
    </w:p>
    <w:tbl>
      <w:tblPr>
        <w:tblW w:type="auto" w:w="0"/>
        <w:jc w:val="center"/>
        <w:tblLook w:firstColumn="1" w:firstRow="1" w:lastColumn="0" w:lastRow="0" w:noHBand="0" w:noVBand="1" w:val="04A0"/>
      </w:tblPr>
      <w:tblGrid>
        <w:gridCol w:w="9878"/>
      </w:tblGrid>
      <w:tr>
        <w:tc>
          <w:tcPr>
            <w:tcW w:type="dxa" w:w="9878"/>
            <w:shd w:fill="F2EAF8"/>
            <w:tcMar>
              <w:top w:w="120" w:type="dxa"/>
              <w:start w:w="140" w:type="dxa"/>
              <w:bottom w:w="120" w:type="dxa"/>
              <w:end w:w="140" w:type="dxa"/>
            </w:tcMar>
          </w:tcPr>
          <w:p>
            <w:r>
              <w:t>Current scope Microsoft multi-capability integration is complete architecturally and deployed on Windows/Linux. Entra ID, Microsoft 365 Security and Azure have passed acceptance. Intune and Defender for Endpoint are implemented but await licensed-tenant acceptance; unavailable licensing is represented per capability and does not invalidate the shared connection.</w:t>
            </w:r>
          </w:p>
        </w:tc>
      </w:tr>
    </w:tbl>
    <w:p>
      <w:pPr>
        <w:spacing w:after="20"/>
      </w:pPr>
    </w:p>
    <w:p>
      <w:pPr>
        <w:pStyle w:val="Heading1"/>
        <w:keepNext/>
      </w:pPr>
      <w:r>
        <w:t>10. Qualys implementation and Asset Management hand-off</w:t>
      </w:r>
    </w:p>
    <w:p>
      <w:pPr>
        <w:spacing w:after="100"/>
      </w:pPr>
      <w:r>
        <w:t>Qualys connection, credential resolution, connection testing and execution live under Integration Management/Qualys. Vulnerability-specific parsing, Asset matching and finding lifecycle remain Asset Management domain logic under vulnerability_integration.</w:t>
      </w:r>
    </w:p>
    <w:tbl>
      <w:tblPr>
        <w:tblW w:type="auto" w:w="0"/>
        <w:tblLook w:firstColumn="1" w:firstRow="1" w:lastColumn="0" w:lastRow="0" w:noHBand="0" w:noVBand="1" w:val="04A0"/>
      </w:tblPr>
      <w:tblGrid>
        <w:gridCol w:w="9878"/>
      </w:tblGrid>
      <w:tr>
        <w:tc>
          <w:tcPr>
            <w:tcW w:type="dxa" w:w="9878"/>
            <w:shd w:fill="F6F6F8"/>
            <w:tcMar>
              <w:top w:w="80" w:type="dxa"/>
              <w:start w:w="120" w:type="dxa"/>
              <w:bottom w:w="80" w:type="dxa"/>
              <w:end w:w="120" w:type="dxa"/>
            </w:tcMar>
          </w:tcPr>
          <w:p>
            <w:pPr>
              <w:spacing w:after="0"/>
            </w:pPr>
            <w:r>
              <w:rPr>
                <w:rFonts w:ascii="Courier New" w:hAnsi="Courier New"/>
                <w:sz w:val="17"/>
              </w:rPr>
              <w:t>Integration Management / Qualys</w:t>
              <w:br/>
              <w:t xml:space="preserve">    connection + credentials + run</w:t>
              <w:br/>
              <w:t xml:space="preserve">               │</w:t>
              <w:br/>
              <w:t xml:space="preserve">               ▼</w:t>
              <w:br/>
              <w:t>Asset Management / vulnerability_integration</w:t>
              <w:br/>
              <w:t xml:space="preserve">    asset matching + vulnerability findings + technical exposure</w:t>
            </w:r>
          </w:p>
        </w:tc>
      </w:tr>
    </w:tbl>
    <w:p>
      <w:pPr>
        <w:spacing w:after="20"/>
      </w:pPr>
    </w:p>
    <w:p>
      <w:pPr>
        <w:spacing w:after="100"/>
      </w:pPr>
      <w:r>
        <w:t>This is an intentional domain boundary, not a temporary hybrid. The retired Asset Management control plane must not be restored simply because the vulnerability data itself remains in Asset Management.</w:t>
      </w:r>
    </w:p>
    <w:p>
      <w:pPr>
        <w:pStyle w:val="Heading1"/>
        <w:keepNext/>
      </w:pPr>
      <w:r>
        <w:t>11. Control automation and evidence materialisation</w:t>
      </w:r>
    </w:p>
    <w:p>
      <w:pPr>
        <w:spacing w:after="100"/>
      </w:pPr>
      <w:r>
        <w:t>After an integration run completes, Control Management automation can evaluate normalized observations against active automation rules. The hook receives the Integration Management run ID and resolves rules only for adopted, applicable, active organisation Controls.</w:t>
      </w:r>
    </w:p>
    <w:tbl>
      <w:tblPr>
        <w:tblW w:type="auto" w:w="0"/>
        <w:tblLook w:firstColumn="1" w:firstRow="1" w:lastColumn="0" w:lastRow="0" w:noHBand="0" w:noVBand="1" w:val="04A0"/>
      </w:tblPr>
      <w:tblGrid>
        <w:gridCol w:w="9878"/>
      </w:tblGrid>
      <w:tr>
        <w:tc>
          <w:tcPr>
            <w:tcW w:type="dxa" w:w="9878"/>
            <w:shd w:fill="F6F6F8"/>
            <w:tcMar>
              <w:top w:w="80" w:type="dxa"/>
              <w:start w:w="120" w:type="dxa"/>
              <w:bottom w:w="80" w:type="dxa"/>
              <w:end w:w="120" w:type="dxa"/>
            </w:tcMar>
          </w:tcPr>
          <w:p>
            <w:pPr>
              <w:spacing w:after="0"/>
            </w:pPr>
            <w:r>
              <w:rPr>
                <w:rFonts w:ascii="Courier New" w:hAnsi="Courier New"/>
                <w:sz w:val="17"/>
              </w:rPr>
              <w:t>Integration run</w:t>
              <w:br/>
              <w:t xml:space="preserve">   ↓</w:t>
              <w:br/>
              <w:t>IntegrationAutomationHook</w:t>
              <w:br/>
              <w:t xml:space="preserve">   ↓</w:t>
              <w:br/>
              <w:t>Automation rule + observation population</w:t>
              <w:br/>
              <w:t xml:space="preserve">   ↓</w:t>
              <w:br/>
              <w:t>reusable org_control_test</w:t>
              <w:br/>
              <w:t xml:space="preserve">   ↓</w:t>
              <w:br/>
              <w:t>org_control_test_run (execution_source=integration)</w:t>
              <w:br/>
              <w:t xml:space="preserve">   ↓</w:t>
              <w:br/>
              <w:t>org_control_evidence + org_control_evidence_integration provenance</w:t>
            </w:r>
          </w:p>
        </w:tc>
      </w:tr>
    </w:tbl>
    <w:p>
      <w:pPr>
        <w:spacing w:after="20"/>
      </w:pPr>
    </w:p>
    <w:tbl>
      <w:tblPr>
        <w:tblStyle w:val="TableGrid"/>
        <w:tblW w:type="auto" w:w="0"/>
        <w:jc w:val="center"/>
        <w:tblLook w:firstColumn="1" w:firstRow="1" w:lastColumn="0" w:lastRow="0" w:noHBand="0" w:noVBand="1" w:val="04A0"/>
      </w:tblPr>
      <w:tblGrid>
        <w:gridCol w:w="3293"/>
        <w:gridCol w:w="3293"/>
        <w:gridCol w:w="3293"/>
      </w:tblGrid>
      <w:tr>
        <w:trPr>
          <w:tblHeader w:val="true"/>
        </w:trPr>
        <w:tc>
          <w:tcPr>
            <w:tcW w:type="dxa" w:w="3293"/>
            <w:shd w:fill="4B0983"/>
            <w:tcMar>
              <w:top w:w="90" w:type="dxa"/>
              <w:start w:w="100" w:type="dxa"/>
              <w:bottom w:w="90" w:type="dxa"/>
              <w:end w:w="100" w:type="dxa"/>
            </w:tcMar>
            <w:vAlign w:val="center"/>
          </w:tcPr>
          <w:p>
            <w:r>
              <w:rPr>
                <w:b/>
                <w:color w:val="FFFFFF"/>
              </w:rPr>
              <w:t>Canonical Entra rule</w:t>
            </w:r>
          </w:p>
        </w:tc>
        <w:tc>
          <w:tcPr>
            <w:tcW w:type="dxa" w:w="3293"/>
            <w:shd w:fill="4B0983"/>
            <w:tcMar>
              <w:top w:w="90" w:type="dxa"/>
              <w:start w:w="100" w:type="dxa"/>
              <w:bottom w:w="90" w:type="dxa"/>
              <w:end w:w="100" w:type="dxa"/>
            </w:tcMar>
            <w:vAlign w:val="center"/>
          </w:tcPr>
          <w:p>
            <w:r>
              <w:rPr>
                <w:b/>
                <w:color w:val="FFFFFF"/>
              </w:rPr>
              <w:t>Control</w:t>
            </w:r>
          </w:p>
        </w:tc>
        <w:tc>
          <w:tcPr>
            <w:tcW w:type="dxa" w:w="3293"/>
            <w:shd w:fill="4B0983"/>
            <w:tcMar>
              <w:top w:w="90" w:type="dxa"/>
              <w:start w:w="100" w:type="dxa"/>
              <w:bottom w:w="90" w:type="dxa"/>
              <w:end w:w="100" w:type="dxa"/>
            </w:tcMar>
            <w:vAlign w:val="center"/>
          </w:tcPr>
          <w:p>
            <w:r>
              <w:rPr>
                <w:b/>
                <w:color w:val="FFFFFF"/>
              </w:rPr>
              <w:t>Semantics</w:t>
            </w:r>
          </w:p>
        </w:tc>
      </w:tr>
      <w:tr>
        <w:trPr>
          <w:cantSplit/>
        </w:trPr>
        <w:tc>
          <w:tcPr>
            <w:tcW w:type="dxa" w:w="3293"/>
            <w:tcMar>
              <w:top w:w="90" w:type="dxa"/>
              <w:start w:w="100" w:type="dxa"/>
              <w:bottom w:w="90" w:type="dxa"/>
              <w:end w:w="100" w:type="dxa"/>
            </w:tcMar>
            <w:vAlign w:val="top"/>
          </w:tcPr>
          <w:p>
            <w:pPr>
              <w:spacing w:after="0"/>
            </w:pPr>
            <w:r>
              <w:t>microsoft.entra.mfa.active_members_registered</w:t>
            </w:r>
          </w:p>
        </w:tc>
        <w:tc>
          <w:tcPr>
            <w:tcW w:type="dxa" w:w="3293"/>
            <w:tcMar>
              <w:top w:w="90" w:type="dxa"/>
              <w:start w:w="100" w:type="dxa"/>
              <w:bottom w:w="90" w:type="dxa"/>
              <w:end w:w="100" w:type="dxa"/>
            </w:tcMar>
            <w:vAlign w:val="top"/>
          </w:tcPr>
          <w:p>
            <w:pPr>
              <w:spacing w:after="0"/>
            </w:pPr>
            <w:r>
              <w:t>CTRL-IAM-03</w:t>
            </w:r>
          </w:p>
        </w:tc>
        <w:tc>
          <w:tcPr>
            <w:tcW w:type="dxa" w:w="3293"/>
            <w:tcMar>
              <w:top w:w="90" w:type="dxa"/>
              <w:start w:w="100" w:type="dxa"/>
              <w:bottom w:w="90" w:type="dxa"/>
              <w:end w:w="100" w:type="dxa"/>
            </w:tcMar>
            <w:vAlign w:val="top"/>
          </w:tcPr>
          <w:p>
            <w:pPr>
              <w:spacing w:after="0"/>
            </w:pPr>
            <w:r>
              <w:t>Evaluate active member MFA registration when report data is available.</w:t>
            </w:r>
          </w:p>
        </w:tc>
      </w:tr>
      <w:tr>
        <w:trPr>
          <w:cantSplit/>
        </w:trPr>
        <w:tc>
          <w:tcPr>
            <w:tcW w:type="dxa" w:w="3293"/>
            <w:tcMar>
              <w:top w:w="90" w:type="dxa"/>
              <w:start w:w="100" w:type="dxa"/>
              <w:bottom w:w="90" w:type="dxa"/>
              <w:end w:w="100" w:type="dxa"/>
            </w:tcMar>
            <w:vAlign w:val="top"/>
          </w:tcPr>
          <w:p>
            <w:pPr>
              <w:spacing w:after="0"/>
            </w:pPr>
            <w:r>
              <w:t>microsoft.entra.mfa.privileged_users_registered</w:t>
            </w:r>
          </w:p>
        </w:tc>
        <w:tc>
          <w:tcPr>
            <w:tcW w:type="dxa" w:w="3293"/>
            <w:tcMar>
              <w:top w:w="90" w:type="dxa"/>
              <w:start w:w="100" w:type="dxa"/>
              <w:bottom w:w="90" w:type="dxa"/>
              <w:end w:w="100" w:type="dxa"/>
            </w:tcMar>
            <w:vAlign w:val="top"/>
          </w:tcPr>
          <w:p>
            <w:pPr>
              <w:spacing w:after="0"/>
            </w:pPr>
            <w:r>
              <w:t>CTRL-IAM-03</w:t>
            </w:r>
          </w:p>
        </w:tc>
        <w:tc>
          <w:tcPr>
            <w:tcW w:type="dxa" w:w="3293"/>
            <w:tcMar>
              <w:top w:w="90" w:type="dxa"/>
              <w:start w:w="100" w:type="dxa"/>
              <w:bottom w:w="90" w:type="dxa"/>
              <w:end w:w="100" w:type="dxa"/>
            </w:tcMar>
            <w:vAlign w:val="top"/>
          </w:tcPr>
          <w:p>
            <w:pPr>
              <w:spacing w:after="0"/>
            </w:pPr>
            <w:r>
              <w:t>Evaluate direct privileged-role users; group-assigned privileged scope is treated conservatively.</w:t>
            </w:r>
          </w:p>
        </w:tc>
      </w:tr>
      <w:tr>
        <w:trPr>
          <w:cantSplit/>
        </w:trPr>
        <w:tc>
          <w:tcPr>
            <w:tcW w:type="dxa" w:w="3293"/>
            <w:tcMar>
              <w:top w:w="90" w:type="dxa"/>
              <w:start w:w="100" w:type="dxa"/>
              <w:bottom w:w="90" w:type="dxa"/>
              <w:end w:w="100" w:type="dxa"/>
            </w:tcMar>
            <w:vAlign w:val="top"/>
          </w:tcPr>
          <w:p>
            <w:pPr>
              <w:spacing w:after="0"/>
            </w:pPr>
            <w:r>
              <w:t>microsoft.entra.identity.no_stale_enabled_members_90d</w:t>
            </w:r>
          </w:p>
        </w:tc>
        <w:tc>
          <w:tcPr>
            <w:tcW w:type="dxa" w:w="3293"/>
            <w:tcMar>
              <w:top w:w="90" w:type="dxa"/>
              <w:start w:w="100" w:type="dxa"/>
              <w:bottom w:w="90" w:type="dxa"/>
              <w:end w:w="100" w:type="dxa"/>
            </w:tcMar>
            <w:vAlign w:val="top"/>
          </w:tcPr>
          <w:p>
            <w:pPr>
              <w:spacing w:after="0"/>
            </w:pPr>
            <w:r>
              <w:t>CTRL-IAM-01</w:t>
            </w:r>
          </w:p>
        </w:tc>
        <w:tc>
          <w:tcPr>
            <w:tcW w:type="dxa" w:w="3293"/>
            <w:tcMar>
              <w:top w:w="90" w:type="dxa"/>
              <w:start w:w="100" w:type="dxa"/>
              <w:bottom w:w="90" w:type="dxa"/>
              <w:end w:w="100" w:type="dxa"/>
            </w:tcMar>
            <w:vAlign w:val="top"/>
          </w:tcPr>
          <w:p>
            <w:pPr>
              <w:spacing w:after="0"/>
            </w:pPr>
            <w:r>
              <w:t>Evaluate enabled members older than 90 days when signInActivity is available.</w:t>
            </w:r>
          </w:p>
        </w:tc>
      </w:tr>
    </w:tbl>
    <w:p>
      <w:pPr>
        <w:spacing w:after="20"/>
      </w:pPr>
    </w:p>
    <w:p>
      <w:pPr>
        <w:spacing w:after="100"/>
      </w:pPr>
      <w:r>
        <w:t>The evaluator may return passed, failed, error, not_applicable or inconclusive. Optional-provider-data absence should generally produce inconclusive rather than a fabricated pass/fail.</w:t>
      </w:r>
    </w:p>
    <w:p>
      <w:pPr>
        <w:pStyle w:val="Heading1"/>
        <w:keepNext/>
      </w:pPr>
      <w:r>
        <w:t>12. Evidence lifecycle and idempotency</w:t>
      </w:r>
    </w:p>
    <w:p>
      <w:pPr>
        <w:spacing w:after="100"/>
      </w:pPr>
      <w:r>
        <w:t>Materialisation is idempotent per integration run/rule. Re-running the same run does not duplicate a test run/evidence record. When a newer run is materialised for the same automation binding, older integration-generated evidence is archived and the new evidence becomes current.</w:t>
      </w:r>
    </w:p>
    <w:p>
      <w:pPr>
        <w:pStyle w:val="ListBullet"/>
        <w:spacing w:after="40"/>
      </w:pPr>
      <w:r>
        <w:t>Historical org_control_test_runs remain preserved.</w:t>
      </w:r>
    </w:p>
    <w:p>
      <w:pPr>
        <w:pStyle w:val="ListBullet"/>
        <w:spacing w:after="40"/>
      </w:pPr>
      <w:r>
        <w:t>org_control_evidence_integration retains run/rule/observation provenance.</w:t>
      </w:r>
    </w:p>
    <w:p>
      <w:pPr>
        <w:pStyle w:val="ListBullet"/>
        <w:spacing w:after="40"/>
      </w:pPr>
      <w:r>
        <w:t>Evidence archival is performed within the automation transaction.</w:t>
      </w:r>
    </w:p>
    <w:p>
      <w:pPr>
        <w:pStyle w:val="ListBullet"/>
        <w:spacing w:after="40"/>
      </w:pPr>
      <w:r>
        <w:t>A MySQL native prepared-statement metadata issue (error 1615) was avoided in the lifecycle archive operation by using a safe direct integer SQL statement for the affected update path.</w:t>
      </w:r>
    </w:p>
    <w:p>
      <w:pPr>
        <w:pStyle w:val="Heading1"/>
        <w:keepNext/>
      </w:pPr>
      <w:r>
        <w:t>13. UTC and timestamp contract</w:t>
      </w:r>
    </w:p>
    <w:p>
      <w:pPr>
        <w:spacing w:after="100"/>
      </w:pPr>
      <w:r>
        <w:t>Integration Management stores operational runtime timestamps as UTC. UI formatting interprets DB integration datetimes as UTC and converts them for the user. Integration Management PDO sessions are explicitly set to +00:00 so MySQL server local time does not introduce drift.</w:t>
      </w:r>
    </w:p>
    <w:tbl>
      <w:tblPr>
        <w:tblW w:type="auto" w:w="0"/>
        <w:jc w:val="center"/>
        <w:tblLook w:firstColumn="1" w:firstRow="1" w:lastColumn="0" w:lastRow="0" w:noHBand="0" w:noVBand="1" w:val="04A0"/>
      </w:tblPr>
      <w:tblGrid>
        <w:gridCol w:w="9878"/>
      </w:tblGrid>
      <w:tr>
        <w:tc>
          <w:tcPr>
            <w:tcW w:type="dxa" w:w="9878"/>
            <w:shd w:fill="FFF4E5"/>
            <w:tcMar>
              <w:top w:w="120" w:type="dxa"/>
              <w:start w:w="140" w:type="dxa"/>
              <w:bottom w:w="120" w:type="dxa"/>
              <w:end w:w="140" w:type="dxa"/>
            </w:tcMar>
          </w:tcPr>
          <w:p>
            <w:pPr>
              <w:spacing w:after="0"/>
            </w:pPr>
            <w:r>
              <w:rPr>
                <w:b/>
                <w:color w:val="8A4B00"/>
              </w:rPr>
              <w:t>Do not mix time bases</w:t>
              <w:br/>
            </w:r>
            <w:r>
              <w:t>Do not combine UTC_TIMESTAMP/gmdate writes with session-local CURRENT_TIMESTAMP in the Integration Management tables. The runtime/session contract is UTC; localisation belongs at presentation time.</w:t>
            </w:r>
          </w:p>
        </w:tc>
      </w:tr>
    </w:tbl>
    <w:p>
      <w:pPr>
        <w:spacing w:after="20"/>
      </w:pP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Layer</w:t>
            </w:r>
          </w:p>
        </w:tc>
        <w:tc>
          <w:tcPr>
            <w:tcW w:type="dxa" w:w="4939"/>
            <w:shd w:fill="4B0983"/>
            <w:tcMar>
              <w:top w:w="90" w:type="dxa"/>
              <w:start w:w="100" w:type="dxa"/>
              <w:bottom w:w="90" w:type="dxa"/>
              <w:end w:w="100" w:type="dxa"/>
            </w:tcMar>
            <w:vAlign w:val="center"/>
          </w:tcPr>
          <w:p>
            <w:r>
              <w:rPr>
                <w:b/>
                <w:color w:val="FFFFFF"/>
              </w:rPr>
              <w:t>Contract</w:t>
            </w:r>
          </w:p>
        </w:tc>
      </w:tr>
      <w:tr>
        <w:trPr>
          <w:cantSplit/>
        </w:trPr>
        <w:tc>
          <w:tcPr>
            <w:tcW w:type="dxa" w:w="4939"/>
            <w:tcMar>
              <w:top w:w="90" w:type="dxa"/>
              <w:start w:w="100" w:type="dxa"/>
              <w:bottom w:w="90" w:type="dxa"/>
              <w:end w:w="100" w:type="dxa"/>
            </w:tcMar>
            <w:vAlign w:val="top"/>
          </w:tcPr>
          <w:p>
            <w:pPr>
              <w:spacing w:after="0"/>
            </w:pPr>
            <w:r>
              <w:t>Integration DB session</w:t>
            </w:r>
          </w:p>
        </w:tc>
        <w:tc>
          <w:tcPr>
            <w:tcW w:type="dxa" w:w="4939"/>
            <w:tcMar>
              <w:top w:w="90" w:type="dxa"/>
              <w:start w:w="100" w:type="dxa"/>
              <w:bottom w:w="90" w:type="dxa"/>
              <w:end w:w="100" w:type="dxa"/>
            </w:tcMar>
            <w:vAlign w:val="top"/>
          </w:tcPr>
          <w:p>
            <w:pPr>
              <w:spacing w:after="0"/>
            </w:pPr>
            <w:r>
              <w:t>SET SESSION time_zone = +00:00.</w:t>
            </w:r>
          </w:p>
        </w:tc>
      </w:tr>
      <w:tr>
        <w:trPr>
          <w:cantSplit/>
        </w:trPr>
        <w:tc>
          <w:tcPr>
            <w:tcW w:type="dxa" w:w="4939"/>
            <w:tcMar>
              <w:top w:w="90" w:type="dxa"/>
              <w:start w:w="100" w:type="dxa"/>
              <w:bottom w:w="90" w:type="dxa"/>
              <w:end w:w="100" w:type="dxa"/>
            </w:tcMar>
            <w:vAlign w:val="top"/>
          </w:tcPr>
          <w:p>
            <w:pPr>
              <w:spacing w:after="0"/>
            </w:pPr>
            <w:r>
              <w:t>Jobs/runs/capability runtime timestamps</w:t>
            </w:r>
          </w:p>
        </w:tc>
        <w:tc>
          <w:tcPr>
            <w:tcW w:type="dxa" w:w="4939"/>
            <w:tcMar>
              <w:top w:w="90" w:type="dxa"/>
              <w:start w:w="100" w:type="dxa"/>
              <w:bottom w:w="90" w:type="dxa"/>
              <w:end w:w="100" w:type="dxa"/>
            </w:tcMar>
            <w:vAlign w:val="top"/>
          </w:tcPr>
          <w:p>
            <w:pPr>
              <w:spacing w:after="0"/>
            </w:pPr>
            <w:r>
              <w:t>UTC.</w:t>
            </w:r>
          </w:p>
        </w:tc>
      </w:tr>
      <w:tr>
        <w:trPr>
          <w:cantSplit/>
        </w:trPr>
        <w:tc>
          <w:tcPr>
            <w:tcW w:type="dxa" w:w="4939"/>
            <w:tcMar>
              <w:top w:w="90" w:type="dxa"/>
              <w:start w:w="100" w:type="dxa"/>
              <w:bottom w:w="90" w:type="dxa"/>
              <w:end w:w="100" w:type="dxa"/>
            </w:tcMar>
            <w:vAlign w:val="top"/>
          </w:tcPr>
          <w:p>
            <w:pPr>
              <w:spacing w:after="0"/>
            </w:pPr>
            <w:r>
              <w:t>Worker/scheduler logs</w:t>
            </w:r>
          </w:p>
        </w:tc>
        <w:tc>
          <w:tcPr>
            <w:tcW w:type="dxa" w:w="4939"/>
            <w:tcMar>
              <w:top w:w="90" w:type="dxa"/>
              <w:start w:w="100" w:type="dxa"/>
              <w:bottom w:w="90" w:type="dxa"/>
              <w:end w:w="100" w:type="dxa"/>
            </w:tcMar>
            <w:vAlign w:val="top"/>
          </w:tcPr>
          <w:p>
            <w:pPr>
              <w:spacing w:after="0"/>
            </w:pPr>
            <w:r>
              <w:t>UTC timestamps are acceptable and explicit.</w:t>
            </w:r>
          </w:p>
        </w:tc>
      </w:tr>
      <w:tr>
        <w:trPr>
          <w:cantSplit/>
        </w:trPr>
        <w:tc>
          <w:tcPr>
            <w:tcW w:type="dxa" w:w="4939"/>
            <w:tcMar>
              <w:top w:w="90" w:type="dxa"/>
              <w:start w:w="100" w:type="dxa"/>
              <w:bottom w:w="90" w:type="dxa"/>
              <w:end w:w="100" w:type="dxa"/>
            </w:tcMar>
            <w:vAlign w:val="top"/>
          </w:tcPr>
          <w:p>
            <w:pPr>
              <w:spacing w:after="0"/>
            </w:pPr>
            <w:r>
              <w:t>Browser UI</w:t>
            </w:r>
          </w:p>
        </w:tc>
        <w:tc>
          <w:tcPr>
            <w:tcW w:type="dxa" w:w="4939"/>
            <w:tcMar>
              <w:top w:w="90" w:type="dxa"/>
              <w:start w:w="100" w:type="dxa"/>
              <w:bottom w:w="90" w:type="dxa"/>
              <w:end w:w="100" w:type="dxa"/>
            </w:tcMar>
            <w:vAlign w:val="top"/>
          </w:tcPr>
          <w:p>
            <w:pPr>
              <w:spacing w:after="0"/>
            </w:pPr>
            <w:r>
              <w:t>Treat DB integration timestamps as UTC and display local time.</w:t>
            </w:r>
          </w:p>
        </w:tc>
      </w:tr>
    </w:tbl>
    <w:p>
      <w:pPr>
        <w:spacing w:after="20"/>
      </w:pPr>
    </w:p>
    <w:p>
      <w:pPr>
        <w:pStyle w:val="Heading1"/>
        <w:keepNext/>
      </w:pPr>
      <w:r>
        <w:t>14. Error handling, logging and user-safe failures</w:t>
      </w:r>
    </w:p>
    <w:p>
      <w:pPr>
        <w:pStyle w:val="ListBullet"/>
        <w:spacing w:after="40"/>
      </w:pPr>
      <w:r>
        <w:t>Provider test/save/run endpoints catch runtime failures and return an operator-friendly message.</w:t>
      </w:r>
    </w:p>
    <w:p>
      <w:pPr>
        <w:pStyle w:val="ListBullet"/>
        <w:spacing w:after="40"/>
      </w:pPr>
      <w:r>
        <w:t>Use correlation/reference values where available so support can locate the protected diagnostic event.</w:t>
      </w:r>
    </w:p>
    <w:p>
      <w:pPr>
        <w:pStyle w:val="ListBullet"/>
        <w:spacing w:after="40"/>
      </w:pPr>
      <w:r>
        <w:t>Automation evaluation failures are per-rule and should not corrupt a successfully collected provider run.</w:t>
      </w:r>
    </w:p>
    <w:p>
      <w:pPr>
        <w:pStyle w:val="ListBullet"/>
        <w:spacing w:after="40"/>
      </w:pPr>
      <w:r>
        <w:t>A partial provider run can still produce usable observations; result=partial distinguishes this from full success or error.</w:t>
      </w:r>
    </w:p>
    <w:p>
      <w:pPr>
        <w:pStyle w:val="ListBullet"/>
        <w:spacing w:after="40"/>
      </w:pPr>
      <w:r>
        <w:t>Do not expose SQLSTATE, stack traces, filesystem paths or decrypted secrets to organisation users.</w:t>
      </w:r>
    </w:p>
    <w:p>
      <w:pPr>
        <w:pStyle w:val="Heading1"/>
        <w:keepNext/>
      </w:pPr>
      <w:r>
        <w:t>15. Windows and Linux deployment baseline</w:t>
      </w:r>
    </w:p>
    <w:tbl>
      <w:tblPr>
        <w:tblStyle w:val="TableGrid"/>
        <w:tblW w:type="auto" w:w="0"/>
        <w:jc w:val="center"/>
        <w:tblLook w:firstColumn="1" w:firstRow="1" w:lastColumn="0" w:lastRow="0" w:noHBand="0" w:noVBand="1" w:val="04A0"/>
      </w:tblPr>
      <w:tblGrid>
        <w:gridCol w:w="3293"/>
        <w:gridCol w:w="3293"/>
        <w:gridCol w:w="3293"/>
      </w:tblGrid>
      <w:tr>
        <w:trPr>
          <w:tblHeader w:val="true"/>
        </w:trPr>
        <w:tc>
          <w:tcPr>
            <w:tcW w:type="dxa" w:w="3293"/>
            <w:shd w:fill="4B0983"/>
            <w:tcMar>
              <w:top w:w="90" w:type="dxa"/>
              <w:start w:w="100" w:type="dxa"/>
              <w:bottom w:w="90" w:type="dxa"/>
              <w:end w:w="100" w:type="dxa"/>
            </w:tcMar>
            <w:vAlign w:val="center"/>
          </w:tcPr>
          <w:p>
            <w:r>
              <w:rPr>
                <w:b/>
                <w:color w:val="FFFFFF"/>
              </w:rPr>
              <w:t>Environment</w:t>
            </w:r>
          </w:p>
        </w:tc>
        <w:tc>
          <w:tcPr>
            <w:tcW w:type="dxa" w:w="3293"/>
            <w:shd w:fill="4B0983"/>
            <w:tcMar>
              <w:top w:w="90" w:type="dxa"/>
              <w:start w:w="100" w:type="dxa"/>
              <w:bottom w:w="90" w:type="dxa"/>
              <w:end w:w="100" w:type="dxa"/>
            </w:tcMar>
            <w:vAlign w:val="center"/>
          </w:tcPr>
          <w:p>
            <w:r>
              <w:rPr>
                <w:b/>
                <w:color w:val="FFFFFF"/>
              </w:rPr>
              <w:t>Worker</w:t>
            </w:r>
          </w:p>
        </w:tc>
        <w:tc>
          <w:tcPr>
            <w:tcW w:type="dxa" w:w="3293"/>
            <w:shd w:fill="4B0983"/>
            <w:tcMar>
              <w:top w:w="90" w:type="dxa"/>
              <w:start w:w="100" w:type="dxa"/>
              <w:bottom w:w="90" w:type="dxa"/>
              <w:end w:w="100" w:type="dxa"/>
            </w:tcMar>
            <w:vAlign w:val="center"/>
          </w:tcPr>
          <w:p>
            <w:r>
              <w:rPr>
                <w:b/>
                <w:color w:val="FFFFFF"/>
              </w:rPr>
              <w:t>Scheduler</w:t>
            </w:r>
          </w:p>
        </w:tc>
      </w:tr>
      <w:tr>
        <w:trPr>
          <w:cantSplit/>
        </w:trPr>
        <w:tc>
          <w:tcPr>
            <w:tcW w:type="dxa" w:w="3293"/>
            <w:tcMar>
              <w:top w:w="90" w:type="dxa"/>
              <w:start w:w="100" w:type="dxa"/>
              <w:bottom w:w="90" w:type="dxa"/>
              <w:end w:w="100" w:type="dxa"/>
            </w:tcMar>
            <w:vAlign w:val="top"/>
          </w:tcPr>
          <w:p>
            <w:pPr>
              <w:spacing w:after="0"/>
            </w:pPr>
            <w:r>
              <w:t>WAMP</w:t>
            </w:r>
          </w:p>
        </w:tc>
        <w:tc>
          <w:tcPr>
            <w:tcW w:type="dxa" w:w="3293"/>
            <w:tcMar>
              <w:top w:w="90" w:type="dxa"/>
              <w:start w:w="100" w:type="dxa"/>
              <w:bottom w:w="90" w:type="dxa"/>
              <w:end w:w="100" w:type="dxa"/>
            </w:tcMar>
            <w:vAlign w:val="top"/>
          </w:tcPr>
          <w:p>
            <w:pPr>
              <w:spacing w:after="0"/>
            </w:pPr>
            <w:r>
              <w:t>C:\wamp64\compout\assets\integration_management\integration_worker.php</w:t>
            </w:r>
          </w:p>
        </w:tc>
        <w:tc>
          <w:tcPr>
            <w:tcW w:type="dxa" w:w="3293"/>
            <w:tcMar>
              <w:top w:w="90" w:type="dxa"/>
              <w:start w:w="100" w:type="dxa"/>
              <w:bottom w:w="90" w:type="dxa"/>
              <w:end w:w="100" w:type="dxa"/>
            </w:tcMar>
            <w:vAlign w:val="top"/>
          </w:tcPr>
          <w:p>
            <w:pPr>
              <w:spacing w:after="0"/>
            </w:pPr>
            <w:r>
              <w:t>C:\wamp64\compout\assets\integration_management\integration_scheduler.php</w:t>
            </w:r>
          </w:p>
        </w:tc>
      </w:tr>
      <w:tr>
        <w:trPr>
          <w:cantSplit/>
        </w:trPr>
        <w:tc>
          <w:tcPr>
            <w:tcW w:type="dxa" w:w="3293"/>
            <w:tcMar>
              <w:top w:w="90" w:type="dxa"/>
              <w:start w:w="100" w:type="dxa"/>
              <w:bottom w:w="90" w:type="dxa"/>
              <w:end w:w="100" w:type="dxa"/>
            </w:tcMar>
            <w:vAlign w:val="top"/>
          </w:tcPr>
          <w:p>
            <w:pPr>
              <w:spacing w:after="0"/>
            </w:pPr>
            <w:r>
              <w:t>Linux</w:t>
            </w:r>
          </w:p>
        </w:tc>
        <w:tc>
          <w:tcPr>
            <w:tcW w:type="dxa" w:w="3293"/>
            <w:tcMar>
              <w:top w:w="90" w:type="dxa"/>
              <w:start w:w="100" w:type="dxa"/>
              <w:bottom w:w="90" w:type="dxa"/>
              <w:end w:w="100" w:type="dxa"/>
            </w:tcMar>
            <w:vAlign w:val="top"/>
          </w:tcPr>
          <w:p>
            <w:pPr>
              <w:spacing w:after="0"/>
            </w:pPr>
            <w:r>
              <w:t>/var/compout/assets/integration_management/integration_worker.php</w:t>
            </w:r>
          </w:p>
        </w:tc>
        <w:tc>
          <w:tcPr>
            <w:tcW w:type="dxa" w:w="3293"/>
            <w:tcMar>
              <w:top w:w="90" w:type="dxa"/>
              <w:start w:w="100" w:type="dxa"/>
              <w:bottom w:w="90" w:type="dxa"/>
              <w:end w:w="100" w:type="dxa"/>
            </w:tcMar>
            <w:vAlign w:val="top"/>
          </w:tcPr>
          <w:p>
            <w:pPr>
              <w:spacing w:after="0"/>
            </w:pPr>
            <w:r>
              <w:t>/var/compout/assets/integration_management/integration_scheduler.php</w:t>
            </w:r>
          </w:p>
        </w:tc>
      </w:tr>
    </w:tbl>
    <w:p>
      <w:pPr>
        <w:spacing w:after="20"/>
      </w:pPr>
    </w:p>
    <w:p>
      <w:pPr>
        <w:spacing w:after="100"/>
      </w:pPr>
      <w:r>
        <w:t>Windows Task Scheduler runs the worker persistently and the scheduler periodically. Linux uses purplewasp-integration-worker.service plus purplewasp-integration-scheduler.service driven by purplewasp-integration-scheduler.timer.</w:t>
      </w:r>
    </w:p>
    <w:p>
      <w:pPr>
        <w:pStyle w:val="ListBullet"/>
        <w:spacing w:after="40"/>
      </w:pPr>
      <w:r>
        <w:t>Linux services use PW_INNER_ROOT=/var/www/html and PW_OUTSIDE_ROOT=/var/compout in the current baseline.</w:t>
      </w:r>
    </w:p>
    <w:p>
      <w:pPr>
        <w:pStyle w:val="ListBullet"/>
        <w:spacing w:after="40"/>
      </w:pPr>
      <w:r>
        <w:t>Both Linux services load /etc/purplewasp/purplewasp.env via systemd drop-ins.</w:t>
      </w:r>
    </w:p>
    <w:p>
      <w:pPr>
        <w:pStyle w:val="ListBullet"/>
        <w:spacing w:after="40"/>
      </w:pPr>
      <w:r>
        <w:t>The old /assets/asset_mgt/integration_worker.php and cron_asset_integration_sync.php paths have been removed from live Windows/Linux execution.</w:t>
      </w:r>
    </w:p>
    <w:p>
      <w:pPr>
        <w:pStyle w:val="Heading1"/>
        <w:keepNext/>
      </w:pPr>
      <w:r>
        <w:t>16. Security properties and trust boundaries</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Threat/concern</w:t>
            </w:r>
          </w:p>
        </w:tc>
        <w:tc>
          <w:tcPr>
            <w:tcW w:type="dxa" w:w="4939"/>
            <w:shd w:fill="4B0983"/>
            <w:tcMar>
              <w:top w:w="90" w:type="dxa"/>
              <w:start w:w="100" w:type="dxa"/>
              <w:bottom w:w="90" w:type="dxa"/>
              <w:end w:w="100" w:type="dxa"/>
            </w:tcMar>
            <w:vAlign w:val="center"/>
          </w:tcPr>
          <w:p>
            <w:r>
              <w:rPr>
                <w:b/>
                <w:color w:val="FFFFFF"/>
              </w:rPr>
              <w:t>Design response</w:t>
            </w:r>
          </w:p>
        </w:tc>
      </w:tr>
      <w:tr>
        <w:trPr>
          <w:cantSplit/>
        </w:trPr>
        <w:tc>
          <w:tcPr>
            <w:tcW w:type="dxa" w:w="4939"/>
            <w:tcMar>
              <w:top w:w="90" w:type="dxa"/>
              <w:start w:w="100" w:type="dxa"/>
              <w:bottom w:w="90" w:type="dxa"/>
              <w:end w:w="100" w:type="dxa"/>
            </w:tcMar>
            <w:vAlign w:val="top"/>
          </w:tcPr>
          <w:p>
            <w:pPr>
              <w:spacing w:after="0"/>
            </w:pPr>
            <w:r>
              <w:t>Credential disclosure</w:t>
            </w:r>
          </w:p>
        </w:tc>
        <w:tc>
          <w:tcPr>
            <w:tcW w:type="dxa" w:w="4939"/>
            <w:tcMar>
              <w:top w:w="90" w:type="dxa"/>
              <w:start w:w="100" w:type="dxa"/>
              <w:bottom w:w="90" w:type="dxa"/>
              <w:end w:w="100" w:type="dxa"/>
            </w:tcMar>
            <w:vAlign w:val="top"/>
          </w:tcPr>
          <w:p>
            <w:pPr>
              <w:spacing w:after="0"/>
            </w:pPr>
            <w:r>
              <w:t>Encrypted storage, protected master key, masked UI, no secret logging.</w:t>
            </w:r>
          </w:p>
        </w:tc>
      </w:tr>
      <w:tr>
        <w:trPr>
          <w:cantSplit/>
        </w:trPr>
        <w:tc>
          <w:tcPr>
            <w:tcW w:type="dxa" w:w="4939"/>
            <w:tcMar>
              <w:top w:w="90" w:type="dxa"/>
              <w:start w:w="100" w:type="dxa"/>
              <w:bottom w:w="90" w:type="dxa"/>
              <w:end w:w="100" w:type="dxa"/>
            </w:tcMar>
            <w:vAlign w:val="top"/>
          </w:tcPr>
          <w:p>
            <w:pPr>
              <w:spacing w:after="0"/>
            </w:pPr>
            <w:r>
              <w:t>Over-privileged SaaS app</w:t>
            </w:r>
          </w:p>
        </w:tc>
        <w:tc>
          <w:tcPr>
            <w:tcW w:type="dxa" w:w="4939"/>
            <w:tcMar>
              <w:top w:w="90" w:type="dxa"/>
              <w:start w:w="100" w:type="dxa"/>
              <w:bottom w:w="90" w:type="dxa"/>
              <w:end w:w="100" w:type="dxa"/>
            </w:tcMar>
            <w:vAlign w:val="top"/>
          </w:tcPr>
          <w:p>
            <w:r>
              <w:t>Documented least-privilege permissions, independent capability enablement and capability-specific expansion.</w:t>
            </w:r>
          </w:p>
        </w:tc>
      </w:tr>
      <w:tr>
        <w:trPr>
          <w:cantSplit/>
        </w:trPr>
        <w:tc>
          <w:tcPr>
            <w:tcW w:type="dxa" w:w="4939"/>
            <w:tcMar>
              <w:top w:w="90" w:type="dxa"/>
              <w:start w:w="100" w:type="dxa"/>
              <w:bottom w:w="90" w:type="dxa"/>
              <w:end w:w="100" w:type="dxa"/>
            </w:tcMar>
            <w:vAlign w:val="top"/>
          </w:tcPr>
          <w:p>
            <w:pPr>
              <w:spacing w:after="0"/>
            </w:pPr>
            <w:r>
              <w:t>Cross-tenant data leakage</w:t>
            </w:r>
          </w:p>
        </w:tc>
        <w:tc>
          <w:tcPr>
            <w:tcW w:type="dxa" w:w="4939"/>
            <w:tcMar>
              <w:top w:w="90" w:type="dxa"/>
              <w:start w:w="100" w:type="dxa"/>
              <w:bottom w:w="90" w:type="dxa"/>
              <w:end w:w="100" w:type="dxa"/>
            </w:tcMar>
            <w:vAlign w:val="top"/>
          </w:tcPr>
          <w:p>
            <w:pPr>
              <w:spacing w:after="0"/>
            </w:pPr>
            <w:r>
              <w:t>Tenant-specific Integration Management databases and organisation context.</w:t>
            </w:r>
          </w:p>
        </w:tc>
      </w:tr>
      <w:tr>
        <w:trPr>
          <w:cantSplit/>
        </w:trPr>
        <w:tc>
          <w:tcPr>
            <w:tcW w:type="dxa" w:w="4939"/>
            <w:tcMar>
              <w:top w:w="90" w:type="dxa"/>
              <w:start w:w="100" w:type="dxa"/>
              <w:bottom w:w="90" w:type="dxa"/>
              <w:end w:w="100" w:type="dxa"/>
            </w:tcMar>
            <w:vAlign w:val="top"/>
          </w:tcPr>
          <w:p>
            <w:pPr>
              <w:spacing w:after="0"/>
            </w:pPr>
            <w:r>
              <w:t>Provider outage/limited licensing</w:t>
            </w:r>
          </w:p>
        </w:tc>
        <w:tc>
          <w:tcPr>
            <w:tcW w:type="dxa" w:w="4939"/>
            <w:tcMar>
              <w:top w:w="90" w:type="dxa"/>
              <w:start w:w="100" w:type="dxa"/>
              <w:bottom w:w="90" w:type="dxa"/>
              <w:end w:w="100" w:type="dxa"/>
            </w:tcMar>
            <w:vAlign w:val="top"/>
          </w:tcPr>
          <w:p>
            <w:pPr>
              <w:spacing w:after="0"/>
            </w:pPr>
            <w:r>
              <w:t>Partial/limited status and inconclusive evidence instead of fabricated results.</w:t>
            </w:r>
          </w:p>
        </w:tc>
      </w:tr>
      <w:tr>
        <w:trPr>
          <w:cantSplit/>
        </w:trPr>
        <w:tc>
          <w:tcPr>
            <w:tcW w:type="dxa" w:w="4939"/>
            <w:tcMar>
              <w:top w:w="90" w:type="dxa"/>
              <w:start w:w="100" w:type="dxa"/>
              <w:bottom w:w="90" w:type="dxa"/>
              <w:end w:w="100" w:type="dxa"/>
            </w:tcMar>
            <w:vAlign w:val="top"/>
          </w:tcPr>
          <w:p>
            <w:pPr>
              <w:spacing w:after="0"/>
            </w:pPr>
            <w:r>
              <w:t>Runtime tampering</w:t>
            </w:r>
          </w:p>
        </w:tc>
        <w:tc>
          <w:tcPr>
            <w:tcW w:type="dxa" w:w="4939"/>
            <w:tcMar>
              <w:top w:w="90" w:type="dxa"/>
              <w:start w:w="100" w:type="dxa"/>
              <w:bottom w:w="90" w:type="dxa"/>
              <w:end w:w="100" w:type="dxa"/>
            </w:tcMar>
            <w:vAlign w:val="top"/>
          </w:tcPr>
          <w:p>
            <w:pPr>
              <w:spacing w:after="0"/>
            </w:pPr>
            <w:r>
              <w:t>Protected OUTSIDE_ROOT code, service account execution and controlled service definitions.</w:t>
            </w:r>
          </w:p>
        </w:tc>
      </w:tr>
      <w:tr>
        <w:trPr>
          <w:cantSplit/>
        </w:trPr>
        <w:tc>
          <w:tcPr>
            <w:tcW w:type="dxa" w:w="4939"/>
            <w:tcMar>
              <w:top w:w="90" w:type="dxa"/>
              <w:start w:w="100" w:type="dxa"/>
              <w:bottom w:w="90" w:type="dxa"/>
              <w:end w:w="100" w:type="dxa"/>
            </w:tcMar>
            <w:vAlign w:val="top"/>
          </w:tcPr>
          <w:p>
            <w:pPr>
              <w:spacing w:after="0"/>
            </w:pPr>
            <w:r>
              <w:t>False compliance state</w:t>
            </w:r>
          </w:p>
        </w:tc>
        <w:tc>
          <w:tcPr>
            <w:tcW w:type="dxa" w:w="4939"/>
            <w:tcMar>
              <w:top w:w="90" w:type="dxa"/>
              <w:start w:w="100" w:type="dxa"/>
              <w:bottom w:w="90" w:type="dxa"/>
              <w:end w:w="100" w:type="dxa"/>
            </w:tcMar>
            <w:vAlign w:val="top"/>
          </w:tcPr>
          <w:p>
            <w:pPr>
              <w:spacing w:after="0"/>
            </w:pPr>
            <w:r>
              <w:t>Provider observations feed Control tests/evidence but never auto-set implementation_status.</w:t>
            </w:r>
          </w:p>
        </w:tc>
      </w:tr>
      <w:tr>
        <w:trPr>
          <w:cantSplit/>
        </w:trPr>
        <w:tc>
          <w:tcPr>
            <w:tcW w:type="dxa" w:w="4939"/>
            <w:tcMar>
              <w:top w:w="90" w:type="dxa"/>
              <w:start w:w="100" w:type="dxa"/>
              <w:bottom w:w="90" w:type="dxa"/>
              <w:end w:w="100" w:type="dxa"/>
            </w:tcMar>
            <w:vAlign w:val="top"/>
          </w:tcPr>
          <w:p>
            <w:pPr>
              <w:spacing w:after="0"/>
            </w:pPr>
            <w:r>
              <w:t>Stale evidence</w:t>
            </w:r>
          </w:p>
        </w:tc>
        <w:tc>
          <w:tcPr>
            <w:tcW w:type="dxa" w:w="4939"/>
            <w:tcMar>
              <w:top w:w="90" w:type="dxa"/>
              <w:start w:w="100" w:type="dxa"/>
              <w:bottom w:w="90" w:type="dxa"/>
              <w:end w:w="100" w:type="dxa"/>
            </w:tcMar>
            <w:vAlign w:val="top"/>
          </w:tcPr>
          <w:p>
            <w:pPr>
              <w:spacing w:after="0"/>
            </w:pPr>
            <w:r>
              <w:t>Newest binding evidence current; prior generated evidence archived; run history retained.</w:t>
            </w:r>
          </w:p>
        </w:tc>
      </w:tr>
    </w:tbl>
    <w:p>
      <w:pPr>
        <w:spacing w:after="20"/>
      </w:pPr>
    </w:p>
    <w:p>
      <w:pPr>
        <w:pStyle w:val="Heading1"/>
        <w:keepNext/>
      </w:pPr>
      <w:r>
        <w:t>17. Failure modes and troubleshooting</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Symptom</w:t>
            </w:r>
          </w:p>
        </w:tc>
        <w:tc>
          <w:tcPr>
            <w:tcW w:type="dxa" w:w="4939"/>
            <w:shd w:fill="4B0983"/>
            <w:tcMar>
              <w:top w:w="90" w:type="dxa"/>
              <w:start w:w="100" w:type="dxa"/>
              <w:bottom w:w="90" w:type="dxa"/>
              <w:end w:w="100" w:type="dxa"/>
            </w:tcMar>
            <w:vAlign w:val="center"/>
          </w:tcPr>
          <w:p>
            <w:r>
              <w:rPr>
                <w:b/>
                <w:color w:val="FFFFFF"/>
              </w:rPr>
              <w:t>Primary checks</w:t>
            </w:r>
          </w:p>
        </w:tc>
      </w:tr>
      <w:tr>
        <w:trPr>
          <w:cantSplit/>
        </w:trPr>
        <w:tc>
          <w:tcPr>
            <w:tcW w:type="dxa" w:w="4939"/>
            <w:tcMar>
              <w:top w:w="90" w:type="dxa"/>
              <w:start w:w="100" w:type="dxa"/>
              <w:bottom w:w="90" w:type="dxa"/>
              <w:end w:w="100" w:type="dxa"/>
            </w:tcMar>
            <w:vAlign w:val="top"/>
          </w:tcPr>
          <w:p>
            <w:pPr>
              <w:spacing w:after="0"/>
            </w:pPr>
            <w:r>
              <w:t>Test Connection fails immediately</w:t>
            </w:r>
          </w:p>
        </w:tc>
        <w:tc>
          <w:tcPr>
            <w:tcW w:type="dxa" w:w="4939"/>
            <w:tcMar>
              <w:top w:w="90" w:type="dxa"/>
              <w:start w:w="100" w:type="dxa"/>
              <w:bottom w:w="90" w:type="dxa"/>
              <w:end w:w="100" w:type="dxa"/>
            </w:tcMar>
            <w:vAlign w:val="top"/>
          </w:tcPr>
          <w:p>
            <w:pPr>
              <w:spacing w:after="0"/>
            </w:pPr>
            <w:r>
              <w:t>Tenant/client identifiers, secret validity, network/TLS, required provider permission/API.</w:t>
            </w:r>
          </w:p>
        </w:tc>
      </w:tr>
      <w:tr>
        <w:trPr>
          <w:cantSplit/>
        </w:trPr>
        <w:tc>
          <w:tcPr>
            <w:tcW w:type="dxa" w:w="4939"/>
            <w:tcMar>
              <w:top w:w="90" w:type="dxa"/>
              <w:start w:w="100" w:type="dxa"/>
              <w:bottom w:w="90" w:type="dxa"/>
              <w:end w:w="100" w:type="dxa"/>
            </w:tcMar>
            <w:vAlign w:val="top"/>
          </w:tcPr>
          <w:p>
            <w:pPr>
              <w:spacing w:after="0"/>
            </w:pPr>
            <w:r>
              <w:t>Microsoft connects with limited evidence</w:t>
            </w:r>
          </w:p>
        </w:tc>
        <w:tc>
          <w:tcPr>
            <w:tcW w:type="dxa" w:w="4939"/>
            <w:tcMar>
              <w:top w:w="90" w:type="dxa"/>
              <w:start w:w="100" w:type="dxa"/>
              <w:bottom w:w="90" w:type="dxa"/>
              <w:end w:w="100" w:type="dxa"/>
            </w:tcMar>
            <w:vAlign w:val="top"/>
          </w:tcPr>
          <w:p>
            <w:pPr>
              <w:spacing w:after="0"/>
            </w:pPr>
            <w:r>
              <w:t>Review optional unavailable streams; confirm licensing/permissions before treating as defect.</w:t>
            </w:r>
          </w:p>
        </w:tc>
      </w:tr>
      <w:tr>
        <w:trPr>
          <w:cantSplit/>
        </w:trPr>
        <w:tc>
          <w:tcPr>
            <w:tcW w:type="dxa" w:w="4939"/>
            <w:tcMar>
              <w:top w:w="90" w:type="dxa"/>
              <w:start w:w="100" w:type="dxa"/>
              <w:bottom w:w="90" w:type="dxa"/>
              <w:end w:w="100" w:type="dxa"/>
            </w:tcMar>
            <w:vAlign w:val="top"/>
          </w:tcPr>
          <w:p>
            <w:pPr>
              <w:spacing w:after="0"/>
            </w:pPr>
            <w:r>
              <w:t>Manual Run Sync remains queued</w:t>
            </w:r>
          </w:p>
        </w:tc>
        <w:tc>
          <w:tcPr>
            <w:tcW w:type="dxa" w:w="4939"/>
            <w:tcMar>
              <w:top w:w="90" w:type="dxa"/>
              <w:start w:w="100" w:type="dxa"/>
              <w:bottom w:w="90" w:type="dxa"/>
              <w:end w:w="100" w:type="dxa"/>
            </w:tcMar>
            <w:vAlign w:val="top"/>
          </w:tcPr>
          <w:p>
            <w:pPr>
              <w:spacing w:after="0"/>
            </w:pPr>
            <w:r>
              <w:t>Worker process/service health, job available_at, database session UTC, worker logs.</w:t>
            </w:r>
          </w:p>
        </w:tc>
      </w:tr>
      <w:tr>
        <w:trPr>
          <w:cantSplit/>
        </w:trPr>
        <w:tc>
          <w:tcPr>
            <w:tcW w:type="dxa" w:w="4939"/>
            <w:tcMar>
              <w:top w:w="90" w:type="dxa"/>
              <w:start w:w="100" w:type="dxa"/>
              <w:bottom w:w="90" w:type="dxa"/>
              <w:end w:w="100" w:type="dxa"/>
            </w:tcMar>
            <w:vAlign w:val="top"/>
          </w:tcPr>
          <w:p>
            <w:pPr>
              <w:spacing w:after="0"/>
            </w:pPr>
            <w:r>
              <w:t>Scheduler service is inactive</w:t>
            </w:r>
          </w:p>
        </w:tc>
        <w:tc>
          <w:tcPr>
            <w:tcW w:type="dxa" w:w="4939"/>
            <w:tcMar>
              <w:top w:w="90" w:type="dxa"/>
              <w:start w:w="100" w:type="dxa"/>
              <w:bottom w:w="90" w:type="dxa"/>
              <w:end w:w="100" w:type="dxa"/>
            </w:tcMar>
            <w:vAlign w:val="top"/>
          </w:tcPr>
          <w:p>
            <w:pPr>
              <w:spacing w:after="0"/>
            </w:pPr>
            <w:r>
              <w:t>For Type=oneshot this is normal after success; inspect status=0/SUCCESS and timer.</w:t>
            </w:r>
          </w:p>
        </w:tc>
      </w:tr>
      <w:tr>
        <w:trPr>
          <w:cantSplit/>
        </w:trPr>
        <w:tc>
          <w:tcPr>
            <w:tcW w:type="dxa" w:w="4939"/>
            <w:tcMar>
              <w:top w:w="90" w:type="dxa"/>
              <w:start w:w="100" w:type="dxa"/>
              <w:bottom w:w="90" w:type="dxa"/>
              <w:end w:w="100" w:type="dxa"/>
            </w:tcMar>
            <w:vAlign w:val="top"/>
          </w:tcPr>
          <w:p>
            <w:pPr>
              <w:spacing w:after="0"/>
            </w:pPr>
            <w:r>
              <w:t>Scheduler failed: could not open input file</w:t>
            </w:r>
          </w:p>
        </w:tc>
        <w:tc>
          <w:tcPr>
            <w:tcW w:type="dxa" w:w="4939"/>
            <w:tcMar>
              <w:top w:w="90" w:type="dxa"/>
              <w:start w:w="100" w:type="dxa"/>
              <w:bottom w:w="90" w:type="dxa"/>
              <w:end w:w="100" w:type="dxa"/>
            </w:tcMar>
            <w:vAlign w:val="top"/>
          </w:tcPr>
          <w:p>
            <w:pPr>
              <w:spacing w:after="0"/>
            </w:pPr>
            <w:r>
              <w:t>Service still references retired asset_mgt path or deployment lacks canonical file.</w:t>
            </w:r>
          </w:p>
        </w:tc>
      </w:tr>
      <w:tr>
        <w:trPr>
          <w:cantSplit/>
        </w:trPr>
        <w:tc>
          <w:tcPr>
            <w:tcW w:type="dxa" w:w="4939"/>
            <w:tcMar>
              <w:top w:w="90" w:type="dxa"/>
              <w:start w:w="100" w:type="dxa"/>
              <w:bottom w:w="90" w:type="dxa"/>
              <w:end w:w="100" w:type="dxa"/>
            </w:tcMar>
            <w:vAlign w:val="top"/>
          </w:tcPr>
          <w:p>
            <w:pPr>
              <w:spacing w:after="0"/>
            </w:pPr>
            <w:r>
              <w:t>Evidence does not materialise</w:t>
            </w:r>
          </w:p>
        </w:tc>
        <w:tc>
          <w:tcPr>
            <w:tcW w:type="dxa" w:w="4939"/>
            <w:tcMar>
              <w:top w:w="90" w:type="dxa"/>
              <w:start w:w="100" w:type="dxa"/>
              <w:bottom w:w="90" w:type="dxa"/>
              <w:end w:w="100" w:type="dxa"/>
            </w:tcMar>
            <w:vAlign w:val="top"/>
          </w:tcPr>
          <w:p>
            <w:pPr>
              <w:spacing w:after="0"/>
            </w:pPr>
            <w:r>
              <w:t>Control adopted/applicable/active? Rule active/mapped? Automation hook error? Same run already materialised?</w:t>
            </w:r>
          </w:p>
        </w:tc>
      </w:tr>
      <w:tr>
        <w:trPr>
          <w:cantSplit/>
        </w:trPr>
        <w:tc>
          <w:tcPr>
            <w:tcW w:type="dxa" w:w="4939"/>
            <w:tcMar>
              <w:top w:w="90" w:type="dxa"/>
              <w:start w:w="100" w:type="dxa"/>
              <w:bottom w:w="90" w:type="dxa"/>
              <w:end w:w="100" w:type="dxa"/>
            </w:tcMar>
            <w:vAlign w:val="top"/>
          </w:tcPr>
          <w:p>
            <w:pPr>
              <w:spacing w:after="0"/>
            </w:pPr>
            <w:r>
              <w:t>Older automated evidence remains current</w:t>
            </w:r>
          </w:p>
        </w:tc>
        <w:tc>
          <w:tcPr>
            <w:tcW w:type="dxa" w:w="4939"/>
            <w:tcMar>
              <w:top w:w="90" w:type="dxa"/>
              <w:start w:w="100" w:type="dxa"/>
              <w:bottom w:w="90" w:type="dxa"/>
              <w:end w:w="100" w:type="dxa"/>
            </w:tcMar>
            <w:vAlign w:val="top"/>
          </w:tcPr>
          <w:p>
            <w:pPr>
              <w:spacing w:after="0"/>
            </w:pPr>
            <w:r>
              <w:t>Check evidence-lifecycle archive step and automation transaction errors.</w:t>
            </w:r>
          </w:p>
        </w:tc>
      </w:tr>
      <w:tr>
        <w:trPr>
          <w:cantSplit/>
        </w:trPr>
        <w:tc>
          <w:tcPr>
            <w:tcW w:type="dxa" w:w="4939"/>
            <w:tcMar>
              <w:top w:w="90" w:type="dxa"/>
              <w:start w:w="100" w:type="dxa"/>
              <w:bottom w:w="90" w:type="dxa"/>
              <w:end w:w="100" w:type="dxa"/>
            </w:tcMar>
            <w:vAlign w:val="top"/>
          </w:tcPr>
          <w:p>
            <w:pPr>
              <w:spacing w:after="0"/>
            </w:pPr>
            <w:r>
              <w:t>Times appear one hour ahead/behind</w:t>
            </w:r>
          </w:p>
        </w:tc>
        <w:tc>
          <w:tcPr>
            <w:tcW w:type="dxa" w:w="4939"/>
            <w:tcMar>
              <w:top w:w="90" w:type="dxa"/>
              <w:start w:w="100" w:type="dxa"/>
              <w:bottom w:w="90" w:type="dxa"/>
              <w:end w:w="100" w:type="dxa"/>
            </w:tcMar>
            <w:vAlign w:val="top"/>
          </w:tcPr>
          <w:p>
            <w:pPr>
              <w:spacing w:after="0"/>
            </w:pPr>
            <w:r>
              <w:t>Integration PDO session not UTC or a path still writes session-local CURRENT_TIMESTAMP.</w:t>
            </w:r>
          </w:p>
        </w:tc>
      </w:tr>
      <w:tr>
        <w:tc>
          <w:tcPr>
            <w:tcW w:type="dxa" w:w="4939"/>
          </w:tcPr>
          <w:p>
            <w:r>
              <w:t>Intune unavailable / request not applicable to target tenant</w:t>
            </w:r>
          </w:p>
        </w:tc>
        <w:tc>
          <w:tcPr>
            <w:tcW w:type="dxa" w:w="4939"/>
          </w:tcPr>
          <w:p>
            <w:r>
              <w:t>Check active Intune service/licence first, then application permissions and admin consent. Disable the capability until prerequisites exist.</w:t>
            </w:r>
          </w:p>
        </w:tc>
      </w:tr>
      <w:tr>
        <w:tc>
          <w:tcPr>
            <w:tcW w:type="dxa" w:w="4939"/>
          </w:tcPr>
          <w:p>
            <w:r>
              <w:t>Defender returns 403 No active license found</w:t>
            </w:r>
          </w:p>
        </w:tc>
        <w:tc>
          <w:tcPr>
            <w:tcW w:type="dxa" w:w="4939"/>
          </w:tcPr>
          <w:p>
            <w:r>
              <w:t>Treat as capability/tenant licensing unavailability; keep other Microsoft capabilities operational.</w:t>
            </w:r>
          </w:p>
        </w:tc>
      </w:tr>
      <w:tr>
        <w:tc>
          <w:tcPr>
            <w:tcW w:type="dxa" w:w="4939"/>
          </w:tcPr>
          <w:p>
            <w:r>
              <w:t>Azure succeeds but inventory is empty</w:t>
            </w:r>
          </w:p>
        </w:tc>
        <w:tc>
          <w:tcPr>
            <w:tcW w:type="dxa" w:w="4939"/>
          </w:tcPr>
          <w:p>
            <w:r>
              <w:t>Check subscription visibility and Reader/Security Reader RBAC.</w:t>
            </w:r>
          </w:p>
        </w:tc>
      </w:tr>
    </w:tbl>
    <w:p>
      <w:pPr>
        <w:spacing w:after="20"/>
      </w:pPr>
    </w:p>
    <w:p>
      <w:pPr>
        <w:pStyle w:val="Heading1"/>
        <w:keepNext/>
      </w:pPr>
      <w:r>
        <w:t>18. Acceptance and regression test matrix</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Test</w:t>
            </w:r>
          </w:p>
        </w:tc>
        <w:tc>
          <w:tcPr>
            <w:tcW w:type="dxa" w:w="4939"/>
            <w:shd w:fill="4B0983"/>
            <w:tcMar>
              <w:top w:w="90" w:type="dxa"/>
              <w:start w:w="100" w:type="dxa"/>
              <w:bottom w:w="90" w:type="dxa"/>
              <w:end w:w="100" w:type="dxa"/>
            </w:tcMar>
            <w:vAlign w:val="center"/>
          </w:tcPr>
          <w:p>
            <w:r>
              <w:rPr>
                <w:b/>
                <w:color w:val="FFFFFF"/>
              </w:rPr>
              <w:t>Pass condition</w:t>
            </w:r>
          </w:p>
        </w:tc>
      </w:tr>
      <w:tr>
        <w:trPr>
          <w:cantSplit/>
        </w:trPr>
        <w:tc>
          <w:tcPr>
            <w:tcW w:type="dxa" w:w="4939"/>
            <w:tcMar>
              <w:top w:w="90" w:type="dxa"/>
              <w:start w:w="100" w:type="dxa"/>
              <w:bottom w:w="90" w:type="dxa"/>
              <w:end w:w="100" w:type="dxa"/>
            </w:tcMar>
            <w:vAlign w:val="top"/>
          </w:tcPr>
          <w:p>
            <w:pPr>
              <w:spacing w:after="0"/>
            </w:pPr>
            <w:r>
              <w:t>Microsoft Test Connection</w:t>
            </w:r>
          </w:p>
        </w:tc>
        <w:tc>
          <w:tcPr>
            <w:tcW w:type="dxa" w:w="4939"/>
            <w:tcMar>
              <w:top w:w="90" w:type="dxa"/>
              <w:start w:w="100" w:type="dxa"/>
              <w:bottom w:w="90" w:type="dxa"/>
              <w:end w:w="100" w:type="dxa"/>
            </w:tcMar>
            <w:vAlign w:val="top"/>
          </w:tcPr>
          <w:p>
            <w:pPr>
              <w:spacing w:after="0"/>
            </w:pPr>
            <w:r>
              <w:t>Required streams pass; optional unavailable streams reported without hard failure.</w:t>
            </w:r>
          </w:p>
        </w:tc>
      </w:tr>
      <w:tr>
        <w:trPr>
          <w:cantSplit/>
        </w:trPr>
        <w:tc>
          <w:tcPr>
            <w:tcW w:type="dxa" w:w="4939"/>
            <w:tcMar>
              <w:top w:w="90" w:type="dxa"/>
              <w:start w:w="100" w:type="dxa"/>
              <w:bottom w:w="90" w:type="dxa"/>
              <w:end w:w="100" w:type="dxa"/>
            </w:tcMar>
            <w:vAlign w:val="top"/>
          </w:tcPr>
          <w:p>
            <w:pPr>
              <w:spacing w:after="0"/>
            </w:pPr>
            <w:r>
              <w:t>Qualys Test Connection</w:t>
            </w:r>
          </w:p>
        </w:tc>
        <w:tc>
          <w:tcPr>
            <w:tcW w:type="dxa" w:w="4939"/>
            <w:tcMar>
              <w:top w:w="90" w:type="dxa"/>
              <w:start w:w="100" w:type="dxa"/>
              <w:bottom w:w="90" w:type="dxa"/>
              <w:end w:w="100" w:type="dxa"/>
            </w:tcMar>
            <w:vAlign w:val="top"/>
          </w:tcPr>
          <w:p>
            <w:pPr>
              <w:spacing w:after="0"/>
            </w:pPr>
            <w:r>
              <w:t>Credentials/API reachability valid.</w:t>
            </w:r>
          </w:p>
        </w:tc>
      </w:tr>
      <w:tr>
        <w:trPr>
          <w:cantSplit/>
        </w:trPr>
        <w:tc>
          <w:tcPr>
            <w:tcW w:type="dxa" w:w="4939"/>
            <w:tcMar>
              <w:top w:w="90" w:type="dxa"/>
              <w:start w:w="100" w:type="dxa"/>
              <w:bottom w:w="90" w:type="dxa"/>
              <w:end w:w="100" w:type="dxa"/>
            </w:tcMar>
            <w:vAlign w:val="top"/>
          </w:tcPr>
          <w:p>
            <w:pPr>
              <w:spacing w:after="0"/>
            </w:pPr>
            <w:r>
              <w:t>Manual job</w:t>
            </w:r>
          </w:p>
        </w:tc>
        <w:tc>
          <w:tcPr>
            <w:tcW w:type="dxa" w:w="4939"/>
            <w:tcMar>
              <w:top w:w="90" w:type="dxa"/>
              <w:start w:w="100" w:type="dxa"/>
              <w:bottom w:w="90" w:type="dxa"/>
              <w:end w:w="100" w:type="dxa"/>
            </w:tcMar>
            <w:vAlign w:val="top"/>
          </w:tcPr>
          <w:p>
            <w:pPr>
              <w:spacing w:after="0"/>
            </w:pPr>
            <w:r>
              <w:t>Queued, claimed and completed by canonical worker.</w:t>
            </w:r>
          </w:p>
        </w:tc>
      </w:tr>
      <w:tr>
        <w:trPr>
          <w:cantSplit/>
        </w:trPr>
        <w:tc>
          <w:tcPr>
            <w:tcW w:type="dxa" w:w="4939"/>
            <w:tcMar>
              <w:top w:w="90" w:type="dxa"/>
              <w:start w:w="100" w:type="dxa"/>
              <w:bottom w:w="90" w:type="dxa"/>
              <w:end w:w="100" w:type="dxa"/>
            </w:tcMar>
            <w:vAlign w:val="top"/>
          </w:tcPr>
          <w:p>
            <w:pPr>
              <w:spacing w:after="0"/>
            </w:pPr>
            <w:r>
              <w:t>Scheduled job</w:t>
            </w:r>
          </w:p>
        </w:tc>
        <w:tc>
          <w:tcPr>
            <w:tcW w:type="dxa" w:w="4939"/>
            <w:tcMar>
              <w:top w:w="90" w:type="dxa"/>
              <w:start w:w="100" w:type="dxa"/>
              <w:bottom w:w="90" w:type="dxa"/>
              <w:end w:w="100" w:type="dxa"/>
            </w:tcMar>
            <w:vAlign w:val="top"/>
          </w:tcPr>
          <w:p>
            <w:pPr>
              <w:spacing w:after="0"/>
            </w:pPr>
            <w:r>
              <w:t>Scheduler queues due work; worker consumes it.</w:t>
            </w:r>
          </w:p>
        </w:tc>
      </w:tr>
      <w:tr>
        <w:trPr>
          <w:cantSplit/>
        </w:trPr>
        <w:tc>
          <w:tcPr>
            <w:tcW w:type="dxa" w:w="4939"/>
            <w:tcMar>
              <w:top w:w="90" w:type="dxa"/>
              <w:start w:w="100" w:type="dxa"/>
              <w:bottom w:w="90" w:type="dxa"/>
              <w:end w:w="100" w:type="dxa"/>
            </w:tcMar>
            <w:vAlign w:val="top"/>
          </w:tcPr>
          <w:p>
            <w:pPr>
              <w:spacing w:after="0"/>
            </w:pPr>
            <w:r>
              <w:t>Observation writer</w:t>
            </w:r>
          </w:p>
        </w:tc>
        <w:tc>
          <w:tcPr>
            <w:tcW w:type="dxa" w:w="4939"/>
            <w:tcMar>
              <w:top w:w="90" w:type="dxa"/>
              <w:start w:w="100" w:type="dxa"/>
              <w:bottom w:w="90" w:type="dxa"/>
              <w:end w:w="100" w:type="dxa"/>
            </w:tcMar>
            <w:vAlign w:val="top"/>
          </w:tcPr>
          <w:p>
            <w:pPr>
              <w:spacing w:after="0"/>
            </w:pPr>
            <w:r>
              <w:t>Canonical observation rows written without schema mismatch.</w:t>
            </w:r>
          </w:p>
        </w:tc>
      </w:tr>
      <w:tr>
        <w:trPr>
          <w:cantSplit/>
        </w:trPr>
        <w:tc>
          <w:tcPr>
            <w:tcW w:type="dxa" w:w="4939"/>
            <w:tcMar>
              <w:top w:w="90" w:type="dxa"/>
              <w:start w:w="100" w:type="dxa"/>
              <w:bottom w:w="90" w:type="dxa"/>
              <w:end w:w="100" w:type="dxa"/>
            </w:tcMar>
            <w:vAlign w:val="top"/>
          </w:tcPr>
          <w:p>
            <w:pPr>
              <w:spacing w:after="0"/>
            </w:pPr>
            <w:r>
              <w:t>Control automation</w:t>
            </w:r>
          </w:p>
        </w:tc>
        <w:tc>
          <w:tcPr>
            <w:tcW w:type="dxa" w:w="4939"/>
            <w:tcMar>
              <w:top w:w="90" w:type="dxa"/>
              <w:start w:w="100" w:type="dxa"/>
              <w:bottom w:w="90" w:type="dxa"/>
              <w:end w:w="100" w:type="dxa"/>
            </w:tcMar>
            <w:vAlign w:val="top"/>
          </w:tcPr>
          <w:p>
            <w:pPr>
              <w:spacing w:after="0"/>
            </w:pPr>
            <w:r>
              <w:t>Mapped adopted Controls receive test run + integration evidence/provenance.</w:t>
            </w:r>
          </w:p>
        </w:tc>
      </w:tr>
      <w:tr>
        <w:trPr>
          <w:cantSplit/>
        </w:trPr>
        <w:tc>
          <w:tcPr>
            <w:tcW w:type="dxa" w:w="4939"/>
            <w:tcMar>
              <w:top w:w="90" w:type="dxa"/>
              <w:start w:w="100" w:type="dxa"/>
              <w:bottom w:w="90" w:type="dxa"/>
              <w:end w:w="100" w:type="dxa"/>
            </w:tcMar>
            <w:vAlign w:val="top"/>
          </w:tcPr>
          <w:p>
            <w:pPr>
              <w:spacing w:after="0"/>
            </w:pPr>
            <w:r>
              <w:t>Idempotency</w:t>
            </w:r>
          </w:p>
        </w:tc>
        <w:tc>
          <w:tcPr>
            <w:tcW w:type="dxa" w:w="4939"/>
            <w:tcMar>
              <w:top w:w="90" w:type="dxa"/>
              <w:start w:w="100" w:type="dxa"/>
              <w:bottom w:w="90" w:type="dxa"/>
              <w:end w:w="100" w:type="dxa"/>
            </w:tcMar>
            <w:vAlign w:val="top"/>
          </w:tcPr>
          <w:p>
            <w:pPr>
              <w:spacing w:after="0"/>
            </w:pPr>
            <w:r>
              <w:t>Second materialisation of same run/rule creates no duplicate.</w:t>
            </w:r>
          </w:p>
        </w:tc>
      </w:tr>
      <w:tr>
        <w:trPr>
          <w:cantSplit/>
        </w:trPr>
        <w:tc>
          <w:tcPr>
            <w:tcW w:type="dxa" w:w="4939"/>
            <w:tcMar>
              <w:top w:w="90" w:type="dxa"/>
              <w:start w:w="100" w:type="dxa"/>
              <w:bottom w:w="90" w:type="dxa"/>
              <w:end w:w="100" w:type="dxa"/>
            </w:tcMar>
            <w:vAlign w:val="top"/>
          </w:tcPr>
          <w:p>
            <w:pPr>
              <w:spacing w:after="0"/>
            </w:pPr>
            <w:r>
              <w:t>Evidence lifecycle</w:t>
            </w:r>
          </w:p>
        </w:tc>
        <w:tc>
          <w:tcPr>
            <w:tcW w:type="dxa" w:w="4939"/>
            <w:tcMar>
              <w:top w:w="90" w:type="dxa"/>
              <w:start w:w="100" w:type="dxa"/>
              <w:bottom w:w="90" w:type="dxa"/>
              <w:end w:w="100" w:type="dxa"/>
            </w:tcMar>
            <w:vAlign w:val="top"/>
          </w:tcPr>
          <w:p>
            <w:pPr>
              <w:spacing w:after="0"/>
            </w:pPr>
            <w:r>
              <w:t>Previous integration evidence archived; newest current.</w:t>
            </w:r>
          </w:p>
        </w:tc>
      </w:tr>
      <w:tr>
        <w:trPr>
          <w:cantSplit/>
        </w:trPr>
        <w:tc>
          <w:tcPr>
            <w:tcW w:type="dxa" w:w="4939"/>
            <w:tcMar>
              <w:top w:w="90" w:type="dxa"/>
              <w:start w:w="100" w:type="dxa"/>
              <w:bottom w:w="90" w:type="dxa"/>
              <w:end w:w="100" w:type="dxa"/>
            </w:tcMar>
            <w:vAlign w:val="top"/>
          </w:tcPr>
          <w:p>
            <w:pPr>
              <w:spacing w:after="0"/>
            </w:pPr>
            <w:r>
              <w:t>UTC</w:t>
            </w:r>
          </w:p>
        </w:tc>
        <w:tc>
          <w:tcPr>
            <w:tcW w:type="dxa" w:w="4939"/>
            <w:tcMar>
              <w:top w:w="90" w:type="dxa"/>
              <w:start w:w="100" w:type="dxa"/>
              <w:bottom w:w="90" w:type="dxa"/>
              <w:end w:w="100" w:type="dxa"/>
            </w:tcMar>
            <w:vAlign w:val="top"/>
          </w:tcPr>
          <w:p>
            <w:pPr>
              <w:spacing w:after="0"/>
            </w:pPr>
            <w:r>
              <w:t>Job finish/update and run/capability times share the same UTC basis.</w:t>
            </w:r>
          </w:p>
        </w:tc>
      </w:tr>
      <w:tr>
        <w:trPr>
          <w:cantSplit/>
        </w:trPr>
        <w:tc>
          <w:tcPr>
            <w:tcW w:type="dxa" w:w="4939"/>
            <w:tcMar>
              <w:top w:w="90" w:type="dxa"/>
              <w:start w:w="100" w:type="dxa"/>
              <w:bottom w:w="90" w:type="dxa"/>
              <w:end w:w="100" w:type="dxa"/>
            </w:tcMar>
            <w:vAlign w:val="top"/>
          </w:tcPr>
          <w:p>
            <w:pPr>
              <w:spacing w:after="0"/>
            </w:pPr>
            <w:r>
              <w:t>Legacy cutover</w:t>
            </w:r>
          </w:p>
        </w:tc>
        <w:tc>
          <w:tcPr>
            <w:tcW w:type="dxa" w:w="4939"/>
            <w:tcMar>
              <w:top w:w="90" w:type="dxa"/>
              <w:start w:w="100" w:type="dxa"/>
              <w:bottom w:w="90" w:type="dxa"/>
              <w:end w:w="100" w:type="dxa"/>
            </w:tcMar>
            <w:vAlign w:val="top"/>
          </w:tcPr>
          <w:p>
            <w:pPr>
              <w:spacing w:after="0"/>
            </w:pPr>
            <w:r>
              <w:t>Cross-tree scan, process list and system services contain no old Asset control-plane paths.</w:t>
            </w:r>
          </w:p>
        </w:tc>
      </w:tr>
      <w:tr>
        <w:trPr>
          <w:cantSplit/>
        </w:trPr>
        <w:tc>
          <w:tcPr>
            <w:tcW w:type="dxa" w:w="4939"/>
            <w:tcMar>
              <w:top w:w="90" w:type="dxa"/>
              <w:start w:w="100" w:type="dxa"/>
              <w:bottom w:w="90" w:type="dxa"/>
              <w:end w:w="100" w:type="dxa"/>
            </w:tcMar>
            <w:vAlign w:val="top"/>
          </w:tcPr>
          <w:p>
            <w:pPr>
              <w:spacing w:after="0"/>
            </w:pPr>
            <w:r>
              <w:t>Consumer regression</w:t>
            </w:r>
          </w:p>
        </w:tc>
        <w:tc>
          <w:tcPr>
            <w:tcW w:type="dxa" w:w="4939"/>
            <w:tcMar>
              <w:top w:w="90" w:type="dxa"/>
              <w:start w:w="100" w:type="dxa"/>
              <w:bottom w:w="90" w:type="dxa"/>
              <w:end w:w="100" w:type="dxa"/>
            </w:tcMar>
            <w:vAlign w:val="top"/>
          </w:tcPr>
          <w:p>
            <w:pPr>
              <w:spacing w:after="0"/>
            </w:pPr>
            <w:r>
              <w:t>Asset vulnerability workflow and Control Management remain functional.</w:t>
            </w:r>
          </w:p>
        </w:tc>
      </w:tr>
      <w:tr>
        <w:tc>
          <w:tcPr>
            <w:tcW w:type="dxa" w:w="4939"/>
          </w:tcPr>
          <w:p>
            <w:r>
              <w:t>Microsoft capability enablement</w:t>
            </w:r>
          </w:p>
        </w:tc>
        <w:tc>
          <w:tcPr>
            <w:tcW w:type="dxa" w:w="4939"/>
          </w:tcPr>
          <w:p>
            <w:r>
              <w:t>Disabling Intune/Defender prevents manual and scheduled jobs for those capabilities while Entra/M365/Azure continue to queue and run.</w:t>
            </w:r>
          </w:p>
        </w:tc>
      </w:tr>
    </w:tbl>
    <w:p>
      <w:pPr>
        <w:spacing w:after="20"/>
      </w:pPr>
    </w:p>
    <w:p>
      <w:pPr>
        <w:pStyle w:val="Heading1"/>
        <w:keepNext/>
      </w:pPr>
      <w:r>
        <w:t>19. Extension and maintenance guidance</w:t>
      </w:r>
    </w:p>
    <w:p>
      <w:pPr>
        <w:pStyle w:val="ListBullet"/>
        <w:spacing w:after="40"/>
      </w:pPr>
      <w:r>
        <w:t>Add further Microsoft domains as capabilities under provider=microsoft, not as new top-level providers.</w:t>
      </w:r>
    </w:p>
    <w:p>
      <w:pPr>
        <w:pStyle w:val="ListBullet"/>
        <w:spacing w:after="40"/>
      </w:pPr>
      <w:r>
        <w:t>Every capability should define permissions/licensing, collector, normalized observation types, sync state, run metrics and downstream consumers.</w:t>
      </w:r>
    </w:p>
    <w:p>
      <w:pPr>
        <w:pStyle w:val="ListBullet"/>
        <w:spacing w:after="40"/>
      </w:pPr>
      <w:r>
        <w:t>Classify provider endpoints as required or optional before writing the connection tester.</w:t>
      </w:r>
    </w:p>
    <w:p>
      <w:pPr>
        <w:pStyle w:val="ListBullet"/>
        <w:spacing w:after="40"/>
      </w:pPr>
      <w:r>
        <w:t>Keep provider collection separate from evaluation; collectors write facts, automation rules decide Control conclusions.</w:t>
      </w:r>
    </w:p>
    <w:p>
      <w:pPr>
        <w:pStyle w:val="ListBullet"/>
        <w:spacing w:after="40"/>
      </w:pPr>
      <w:r>
        <w:t>Keep tenant-specific facts out of intel_core; use intel_core for reusable provider/rule/mapping intelligence.</w:t>
      </w:r>
    </w:p>
    <w:p>
      <w:pPr>
        <w:pStyle w:val="ListBullet"/>
        <w:spacing w:after="40"/>
      </w:pPr>
      <w:r>
        <w:t>Version schema/seed changes and preserve historical run/evidence semantics.</w:t>
      </w:r>
    </w:p>
    <w:p>
      <w:pPr>
        <w:pStyle w:val="ListBullet"/>
        <w:spacing w:after="40"/>
      </w:pPr>
      <w:r>
        <w:t>Do not reintroduce legacy Asset Management integration-control-plane tables or helper dependencies.</w:t>
      </w:r>
    </w:p>
    <w:p>
      <w:pPr>
        <w:pStyle w:val="Heading1"/>
        <w:keepNext/>
      </w:pPr>
      <w:r>
        <w:t>20. Current capability baseline</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4939"/>
            <w:shd w:fill="4B0983"/>
            <w:tcMar>
              <w:top w:w="90" w:type="dxa"/>
              <w:start w:w="100" w:type="dxa"/>
              <w:bottom w:w="90" w:type="dxa"/>
              <w:end w:w="100" w:type="dxa"/>
            </w:tcMar>
            <w:vAlign w:val="center"/>
          </w:tcPr>
          <w:p>
            <w:r>
              <w:rPr>
                <w:b/>
                <w:color w:val="FFFFFF"/>
              </w:rPr>
              <w:t>Capability</w:t>
            </w:r>
          </w:p>
        </w:tc>
        <w:tc>
          <w:tcPr>
            <w:tcW w:type="dxa" w:w="4939"/>
            <w:shd w:fill="4B0983"/>
            <w:tcMar>
              <w:top w:w="90" w:type="dxa"/>
              <w:start w:w="100" w:type="dxa"/>
              <w:bottom w:w="90" w:type="dxa"/>
              <w:end w:w="100" w:type="dxa"/>
            </w:tcMar>
            <w:vAlign w:val="center"/>
          </w:tcPr>
          <w:p>
            <w:r>
              <w:t>State on 4 Oct 2026</w:t>
            </w:r>
          </w:p>
        </w:tc>
      </w:tr>
      <w:tr>
        <w:trPr>
          <w:cantSplit/>
        </w:trPr>
        <w:tc>
          <w:tcPr>
            <w:tcW w:type="dxa" w:w="4939"/>
            <w:tcMar>
              <w:top w:w="90" w:type="dxa"/>
              <w:start w:w="100" w:type="dxa"/>
              <w:bottom w:w="90" w:type="dxa"/>
              <w:end w:w="100" w:type="dxa"/>
            </w:tcMar>
            <w:vAlign w:val="top"/>
          </w:tcPr>
          <w:p>
            <w:r>
              <w:t>microsoft.entra_identity</w:t>
            </w:r>
          </w:p>
        </w:tc>
        <w:tc>
          <w:tcPr>
            <w:tcW w:type="dxa" w:w="4939"/>
            <w:tcMar>
              <w:top w:w="90" w:type="dxa"/>
              <w:start w:w="100" w:type="dxa"/>
              <w:bottom w:w="90" w:type="dxa"/>
              <w:end w:w="100" w:type="dxa"/>
            </w:tcMar>
            <w:vAlign w:val="top"/>
          </w:tcPr>
          <w:p>
            <w:r>
              <w:t>Complete end-to-end: Admin configuration/test, encrypted credentials, Graph collection, observations, automation, scheduler/worker, UTC, Windows/Linux runtime.</w:t>
            </w:r>
          </w:p>
        </w:tc>
      </w:tr>
      <w:tr>
        <w:trPr>
          <w:cantSplit/>
        </w:trPr>
        <w:tc>
          <w:tcPr>
            <w:tcW w:type="dxa" w:w="4939"/>
            <w:tcMar>
              <w:top w:w="90" w:type="dxa"/>
              <w:start w:w="100" w:type="dxa"/>
              <w:bottom w:w="90" w:type="dxa"/>
              <w:end w:w="100" w:type="dxa"/>
            </w:tcMar>
            <w:vAlign w:val="top"/>
          </w:tcPr>
          <w:p>
            <w:r>
              <w:t>qualys.vulnerability_findings</w:t>
            </w:r>
          </w:p>
        </w:tc>
        <w:tc>
          <w:tcPr>
            <w:tcW w:type="dxa" w:w="4939"/>
            <w:tcMar>
              <w:top w:w="90" w:type="dxa"/>
              <w:start w:w="100" w:type="dxa"/>
              <w:bottom w:w="90" w:type="dxa"/>
              <w:end w:w="100" w:type="dxa"/>
            </w:tcMar>
            <w:vAlign w:val="top"/>
          </w:tcPr>
          <w:p>
            <w:r>
              <w:t>Complete end-to-end: canonical Integration Management connection/runtime plus Asset Management vulnerability-domain hand-off.</w:t>
            </w:r>
          </w:p>
        </w:tc>
      </w:tr>
      <w:tr>
        <w:trPr>
          <w:cantSplit/>
        </w:trPr>
        <w:tc>
          <w:tcPr>
            <w:tcW w:type="dxa" w:w="4939"/>
            <w:tcMar>
              <w:top w:w="90" w:type="dxa"/>
              <w:start w:w="100" w:type="dxa"/>
              <w:bottom w:w="90" w:type="dxa"/>
              <w:end w:w="100" w:type="dxa"/>
            </w:tcMar>
            <w:vAlign w:val="top"/>
          </w:tcPr>
          <w:p>
            <w:r>
              <w:t>microsoft.m365_security / microsoft.azure_resources</w:t>
            </w:r>
          </w:p>
        </w:tc>
        <w:tc>
          <w:tcPr>
            <w:tcW w:type="dxa" w:w="4939"/>
            <w:tcMar>
              <w:top w:w="90" w:type="dxa"/>
              <w:start w:w="100" w:type="dxa"/>
              <w:bottom w:w="90" w:type="dxa"/>
              <w:end w:w="100" w:type="dxa"/>
            </w:tcMar>
            <w:vAlign w:val="top"/>
          </w:tcPr>
          <w:p>
            <w:r>
              <w:t>Implemented and accepted. M365 supports partial stream availability; Azure inventory depth depends on subscription RBAC.</w:t>
            </w:r>
          </w:p>
        </w:tc>
      </w:tr>
      <w:tr>
        <w:trPr>
          <w:cantSplit/>
        </w:trPr>
        <w:tc>
          <w:tcPr>
            <w:tcW w:type="dxa" w:w="4939"/>
            <w:tcMar>
              <w:top w:w="90" w:type="dxa"/>
              <w:start w:w="100" w:type="dxa"/>
              <w:bottom w:w="90" w:type="dxa"/>
              <w:end w:w="100" w:type="dxa"/>
            </w:tcMar>
            <w:vAlign w:val="top"/>
          </w:tcPr>
          <w:p>
            <w:r>
              <w:t>microsoft.intune_devices / microsoft.defender_endpoint</w:t>
            </w:r>
          </w:p>
        </w:tc>
        <w:tc>
          <w:tcPr>
            <w:tcW w:type="dxa" w:w="4939"/>
            <w:tcMar>
              <w:top w:w="90" w:type="dxa"/>
              <w:start w:w="100" w:type="dxa"/>
              <w:bottom w:w="90" w:type="dxa"/>
              <w:end w:w="100" w:type="dxa"/>
            </w:tcMar>
            <w:vAlign w:val="top"/>
          </w:tcPr>
          <w:p>
            <w:r>
              <w:t>Implemented; licensed-tenant acceptance pending. Capability unavailability does not invalidate the shared Microsoft connection.</w:t>
            </w:r>
          </w:p>
        </w:tc>
      </w:tr>
      <w:tr>
        <w:tc>
          <w:tcPr>
            <w:tcW w:type="dxa" w:w="4939"/>
          </w:tcPr>
          <w:p>
            <w:r>
              <w:t>AWS</w:t>
            </w:r>
          </w:p>
        </w:tc>
        <w:tc>
          <w:tcPr>
            <w:tcW w:type="dxa" w:w="4939"/>
          </w:tcPr>
          <w:p>
            <w:r>
              <w:t>Next provider: architecture/design baseline is AssumeRole + external ID, with resource/security capabilities separated where useful.</w:t>
            </w:r>
          </w:p>
        </w:tc>
      </w:tr>
    </w:tbl>
    <w:p>
      <w:pPr>
        <w:spacing w:after="20"/>
      </w:pPr>
    </w:p>
    <w:sectPr w:rsidR="00FC693F" w:rsidRPr="0006063C" w:rsidSect="00034616">
      <w:headerReference w:type="default" r:id="rId9"/>
      <w:footerReference w:type="default" r:id="rId10"/>
      <w:pgSz w:w="12240" w:h="15840"/>
      <w:pgMar w:top="1080"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WSmall"/>
      <w:jc w:val="right"/>
    </w:pPr>
    <w: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WSmall"/>
      <w:jc w:val="right"/>
    </w:pPr>
    <w:r>
      <w:t>PurpleWASP  |  Integration Documentation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22222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4B0983"/>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2E203C"/>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4B098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2E203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WSmall">
    <w:name w:val="PW Small"/>
    <w:rPr>
      <w:rFonts w:ascii="Arial" w:hAnsi="Arial"/>
      <w:color w:val="666666"/>
      <w:sz w:val="16"/>
    </w:rPr>
  </w:style>
  <w:style w:type="paragraph" w:customStyle="1" w:styleId="PWCallout">
    <w:name w:val="PW Callout"/>
    <w:rPr>
      <w:rFonts w:ascii="Arial" w:hAnsi="Arial"/>
      <w:b/>
      <w:color w:val="2E203C"/>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PurpleWASP</dc:creator>
  <cp:keywords/>
  <dc:description>PurpleWASP Integration Management documentation baseline 3 October 2026.</dc:description>
  <cp:lastModifiedBy/>
  <cp:revision>1</cp:revision>
  <dcterms:created xsi:type="dcterms:W3CDTF">2013-12-23T23:15:00Z</dcterms:created>
  <dcterms:modified xsi:type="dcterms:W3CDTF">2013-12-23T23:15:00Z</dcterms:modified>
  <cp:category/>
</cp:coreProperties>
</file>