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4B0983"/>
          <w:sz w:val="24"/>
        </w:rPr>
        <w:t>PURPLEWASP</w:t>
      </w:r>
    </w:p>
    <w:p>
      <w:pPr>
        <w:pStyle w:val="Title"/>
        <w:spacing w:after="100"/>
      </w:pPr>
      <w:r>
        <w:t>Integration Management Operations &amp; Troubleshooting Runbook</w:t>
      </w:r>
    </w:p>
    <w:p>
      <w:pPr>
        <w:spacing w:after="280"/>
      </w:pPr>
      <w:r>
        <w:t>Operational checks, diagnostics, recovery steps and safe escalation for Microsoft multi-capability and Qualys integrations</w:t>
      </w:r>
    </w:p>
    <w:tbl>
      <w:tblPr>
        <w:tblW w:type="auto" w:w="0"/>
        <w:jc w:val="center"/>
        <w:tblLayout w:type="autofit"/>
        <w:tblLook w:firstColumn="1" w:firstRow="1" w:lastColumn="0" w:lastRow="0" w:noHBand="0" w:noVBand="1" w:val="04A0"/>
      </w:tblPr>
      <w:tblGrid>
        <w:gridCol w:w="4939"/>
        <w:gridCol w:w="4939"/>
      </w:tblGrid>
      <w:tr>
        <w:tc>
          <w:tcPr>
            <w:tcW w:type="dxa" w:w="4939"/>
            <w:shd w:fill="F2EAF8"/>
            <w:tcMar>
              <w:top w:w="90" w:type="dxa"/>
              <w:start w:w="100" w:type="dxa"/>
              <w:bottom w:w="90" w:type="dxa"/>
              <w:end w:w="100" w:type="dxa"/>
            </w:tcMar>
            <w:vAlign w:val="center"/>
          </w:tcPr>
          <w:p>
            <w:pPr>
              <w:spacing w:after="0"/>
            </w:pPr>
            <w:r>
              <w:rPr>
                <w:b/>
                <w:color w:val="2E203C"/>
              </w:rPr>
              <w:t>Audience</w:t>
            </w:r>
          </w:p>
        </w:tc>
        <w:tc>
          <w:tcPr>
            <w:tcW w:type="dxa" w:w="4939"/>
            <w:tcMar>
              <w:top w:w="90" w:type="dxa"/>
              <w:start w:w="100" w:type="dxa"/>
              <w:bottom w:w="90" w:type="dxa"/>
              <w:end w:w="100" w:type="dxa"/>
            </w:tcMar>
            <w:vAlign w:val="center"/>
          </w:tcPr>
          <w:p>
            <w:pPr>
              <w:spacing w:after="0"/>
            </w:pPr>
            <w:r>
              <w:t>PurpleWASP operations, technical support, administrators and on-call engineers</w:t>
            </w:r>
          </w:p>
        </w:tc>
      </w:tr>
      <w:tr>
        <w:tc>
          <w:tcPr>
            <w:tcW w:type="dxa" w:w="4939"/>
            <w:shd w:fill="F2EAF8"/>
            <w:tcMar>
              <w:top w:w="90" w:type="dxa"/>
              <w:start w:w="100" w:type="dxa"/>
              <w:bottom w:w="90" w:type="dxa"/>
              <w:end w:w="100" w:type="dxa"/>
            </w:tcMar>
            <w:vAlign w:val="center"/>
          </w:tcPr>
          <w:p>
            <w:pPr>
              <w:spacing w:after="0"/>
            </w:pPr>
            <w:r>
              <w:rPr>
                <w:b/>
                <w:color w:val="2E203C"/>
              </w:rPr>
              <w:t>Baseline date</w:t>
            </w:r>
          </w:p>
        </w:tc>
        <w:tc>
          <w:tcPr>
            <w:tcW w:type="dxa" w:w="4939"/>
            <w:tcMar>
              <w:top w:w="90" w:type="dxa"/>
              <w:start w:w="100" w:type="dxa"/>
              <w:bottom w:w="90" w:type="dxa"/>
              <w:end w:w="100" w:type="dxa"/>
            </w:tcMar>
            <w:vAlign w:val="center"/>
          </w:tcPr>
          <w:p>
            <w:r>
              <w:t>4 October 2026</w:t>
            </w:r>
          </w:p>
        </w:tc>
      </w:tr>
      <w:tr>
        <w:tc>
          <w:tcPr>
            <w:tcW w:type="dxa" w:w="4939"/>
            <w:shd w:fill="F2EAF8"/>
            <w:tcMar>
              <w:top w:w="90" w:type="dxa"/>
              <w:start w:w="100" w:type="dxa"/>
              <w:bottom w:w="90" w:type="dxa"/>
              <w:end w:w="100" w:type="dxa"/>
            </w:tcMar>
            <w:vAlign w:val="center"/>
          </w:tcPr>
          <w:p>
            <w:pPr>
              <w:spacing w:after="0"/>
            </w:pPr>
            <w:r>
              <w:rPr>
                <w:b/>
                <w:color w:val="2E203C"/>
              </w:rPr>
              <w:t>Status</w:t>
            </w:r>
          </w:p>
        </w:tc>
        <w:tc>
          <w:tcPr>
            <w:tcW w:type="dxa" w:w="4939"/>
            <w:tcMar>
              <w:top w:w="90" w:type="dxa"/>
              <w:start w:w="100" w:type="dxa"/>
              <w:bottom w:w="90" w:type="dxa"/>
              <w:end w:w="100" w:type="dxa"/>
            </w:tcMar>
            <w:vAlign w:val="center"/>
          </w:tcPr>
          <w:p>
            <w:pPr>
              <w:spacing w:after="0"/>
            </w:pPr>
            <w:r>
              <w:t>Current documentation baseline</w:t>
            </w:r>
          </w:p>
        </w:tc>
      </w:tr>
      <w:tr>
        <w:tc>
          <w:tcPr>
            <w:tcW w:type="dxa" w:w="4939"/>
            <w:shd w:fill="F2EAF8"/>
            <w:tcMar>
              <w:top w:w="90" w:type="dxa"/>
              <w:start w:w="100" w:type="dxa"/>
              <w:bottom w:w="90" w:type="dxa"/>
              <w:end w:w="100" w:type="dxa"/>
            </w:tcMar>
            <w:vAlign w:val="center"/>
          </w:tcPr>
          <w:p>
            <w:pPr>
              <w:spacing w:after="0"/>
            </w:pPr>
            <w:r>
              <w:rPr>
                <w:b/>
                <w:color w:val="2E203C"/>
              </w:rPr>
              <w:t>Product scope</w:t>
            </w:r>
          </w:p>
        </w:tc>
        <w:tc>
          <w:tcPr>
            <w:tcW w:type="dxa" w:w="4939"/>
            <w:tcMar>
              <w:top w:w="90" w:type="dxa"/>
              <w:start w:w="100" w:type="dxa"/>
              <w:bottom w:w="90" w:type="dxa"/>
              <w:end w:w="100" w:type="dxa"/>
            </w:tcMar>
            <w:vAlign w:val="center"/>
          </w:tcPr>
          <w:p>
            <w:r>
              <w:t>Integration Management worker/scheduler, provider connections, capability enablement, jobs/runs, Microsoft multi-capability integration, Qualys and Control evidence automation</w:t>
            </w:r>
          </w:p>
        </w:tc>
      </w:tr>
    </w:tbl>
    <w:p/>
    <w:p>
      <w:pPr>
        <w:pStyle w:val="PWSmall"/>
        <w:spacing w:after="240"/>
      </w:pPr>
      <w:r>
        <w:t>This document describes the PurpleWASP implementation baseline completed on 4 October 2026. The Microsoft provider now exposes independently enabled Entra ID, Microsoft 365 Security, Intune, Defender for Endpoint and Azure capabilities under one shared connection. Provider APIs, permissions and licensing can change; validate vendor-specific prerequisites before each new deployment or capability expansion.</w:t>
      </w:r>
    </w:p>
    <w:p>
      <w:pPr>
        <w:pStyle w:val="Heading1"/>
        <w:keepNext/>
      </w:pPr>
      <w:r>
        <w:t>Document map</w:t>
      </w:r>
    </w:p>
    <w:p>
      <w:pPr>
        <w:spacing w:after="20"/>
      </w:pPr>
      <w:r>
        <w:t>1. Runbook purpose and severity model</w:t>
      </w:r>
    </w:p>
    <w:p>
      <w:pPr>
        <w:spacing w:after="20"/>
      </w:pPr>
      <w:r>
        <w:t>2. Daily and weekly health checks</w:t>
      </w:r>
    </w:p>
    <w:p>
      <w:pPr>
        <w:spacing w:after="20"/>
      </w:pPr>
      <w:r>
        <w:t>3. Windows service/task operations</w:t>
      </w:r>
    </w:p>
    <w:p>
      <w:pPr>
        <w:spacing w:after="20"/>
      </w:pPr>
      <w:r>
        <w:t>4. Linux systemd operations</w:t>
      </w:r>
    </w:p>
    <w:p>
      <w:pPr>
        <w:spacing w:after="20"/>
      </w:pPr>
      <w:r>
        <w:t>5. Jobs and runs triage</w:t>
      </w:r>
    </w:p>
    <w:p>
      <w:pPr>
        <w:spacing w:after="20"/>
      </w:pPr>
      <w:r>
        <w:t>6. Microsoft capability triage</w:t>
      </w:r>
    </w:p>
    <w:p>
      <w:pPr>
        <w:spacing w:after="20"/>
      </w:pPr>
      <w:r>
        <w:t>7. Qualys triage</w:t>
      </w:r>
    </w:p>
    <w:p>
      <w:pPr>
        <w:spacing w:after="20"/>
      </w:pPr>
      <w:r>
        <w:t>8. Control evidence automation triage</w:t>
      </w:r>
    </w:p>
    <w:p>
      <w:pPr>
        <w:spacing w:after="20"/>
      </w:pPr>
      <w:r>
        <w:t>9. Credential rotation</w:t>
      </w:r>
    </w:p>
    <w:p>
      <w:pPr>
        <w:spacing w:after="20"/>
      </w:pPr>
      <w:r>
        <w:t>10. UTC/time troubleshooting</w:t>
      </w:r>
    </w:p>
    <w:p>
      <w:pPr>
        <w:spacing w:after="20"/>
      </w:pPr>
      <w:r>
        <w:t>11. Safe restart, rollback and cutover checks</w:t>
      </w:r>
    </w:p>
    <w:p>
      <w:pPr>
        <w:spacing w:after="20"/>
      </w:pPr>
      <w:r>
        <w:t>12. Escalation evidence</w:t>
      </w:r>
    </w:p>
    <w:p/>
    <w:p>
      <w:pPr>
        <w:pStyle w:val="Heading1"/>
        <w:keepNext/>
      </w:pPr>
      <w:r>
        <w:t>1. Runbook purpose and severity model</w:t>
      </w:r>
    </w:p>
    <w:p>
      <w:pPr>
        <w:spacing w:after="100"/>
      </w:pPr>
      <w:r>
        <w:t>Use this runbook when an integration cannot connect, scheduled collection stops, jobs do not complete, evidence does not materialise, or operators need to rotate credentials or validate runtime health.</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Severity</w:t>
            </w:r>
          </w:p>
        </w:tc>
        <w:tc>
          <w:tcPr>
            <w:tcW w:type="dxa" w:w="4939"/>
            <w:shd w:fill="4B0983"/>
            <w:tcMar>
              <w:top w:w="90" w:type="dxa"/>
              <w:start w:w="100" w:type="dxa"/>
              <w:bottom w:w="90" w:type="dxa"/>
              <w:end w:w="100" w:type="dxa"/>
            </w:tcMar>
            <w:vAlign w:val="center"/>
          </w:tcPr>
          <w:p>
            <w:r>
              <w:rPr>
                <w:b/>
                <w:color w:val="FFFFFF"/>
              </w:rPr>
              <w:t>Example</w:t>
            </w:r>
          </w:p>
        </w:tc>
      </w:tr>
      <w:tr>
        <w:trPr>
          <w:cantSplit/>
        </w:trPr>
        <w:tc>
          <w:tcPr>
            <w:tcW w:type="dxa" w:w="4939"/>
            <w:tcMar>
              <w:top w:w="90" w:type="dxa"/>
              <w:start w:w="100" w:type="dxa"/>
              <w:bottom w:w="90" w:type="dxa"/>
              <w:end w:w="100" w:type="dxa"/>
            </w:tcMar>
            <w:vAlign w:val="top"/>
          </w:tcPr>
          <w:p>
            <w:pPr>
              <w:spacing w:after="0"/>
            </w:pPr>
            <w:r>
              <w:t>P1 / critical</w:t>
            </w:r>
          </w:p>
        </w:tc>
        <w:tc>
          <w:tcPr>
            <w:tcW w:type="dxa" w:w="4939"/>
            <w:tcMar>
              <w:top w:w="90" w:type="dxa"/>
              <w:start w:w="100" w:type="dxa"/>
              <w:bottom w:w="90" w:type="dxa"/>
              <w:end w:w="100" w:type="dxa"/>
            </w:tcMar>
            <w:vAlign w:val="top"/>
          </w:tcPr>
          <w:p>
            <w:pPr>
              <w:spacing w:after="0"/>
            </w:pPr>
            <w:r>
              <w:t>Cross-tenant exposure, secret disclosure, widespread corruption or unsafe automated conclusions. Stop affected integration execution and escalate immediately.</w:t>
            </w:r>
          </w:p>
        </w:tc>
      </w:tr>
      <w:tr>
        <w:trPr>
          <w:cantSplit/>
        </w:trPr>
        <w:tc>
          <w:tcPr>
            <w:tcW w:type="dxa" w:w="4939"/>
            <w:tcMar>
              <w:top w:w="90" w:type="dxa"/>
              <w:start w:w="100" w:type="dxa"/>
              <w:bottom w:w="90" w:type="dxa"/>
              <w:end w:w="100" w:type="dxa"/>
            </w:tcMar>
            <w:vAlign w:val="top"/>
          </w:tcPr>
          <w:p>
            <w:pPr>
              <w:spacing w:after="0"/>
            </w:pPr>
            <w:r>
              <w:t>P2 / high</w:t>
            </w:r>
          </w:p>
        </w:tc>
        <w:tc>
          <w:tcPr>
            <w:tcW w:type="dxa" w:w="4939"/>
            <w:tcMar>
              <w:top w:w="90" w:type="dxa"/>
              <w:start w:w="100" w:type="dxa"/>
              <w:bottom w:w="90" w:type="dxa"/>
              <w:end w:w="100" w:type="dxa"/>
            </w:tcMar>
            <w:vAlign w:val="top"/>
          </w:tcPr>
          <w:p>
            <w:pPr>
              <w:spacing w:after="0"/>
            </w:pPr>
            <w:r>
              <w:t>All scheduled integration processing stopped for production tenants, worker down, repeated required provider failures.</w:t>
            </w:r>
          </w:p>
        </w:tc>
      </w:tr>
      <w:tr>
        <w:trPr>
          <w:cantSplit/>
        </w:trPr>
        <w:tc>
          <w:tcPr>
            <w:tcW w:type="dxa" w:w="4939"/>
            <w:tcMar>
              <w:top w:w="90" w:type="dxa"/>
              <w:start w:w="100" w:type="dxa"/>
              <w:bottom w:w="90" w:type="dxa"/>
              <w:end w:w="100" w:type="dxa"/>
            </w:tcMar>
            <w:vAlign w:val="top"/>
          </w:tcPr>
          <w:p>
            <w:pPr>
              <w:spacing w:after="0"/>
            </w:pPr>
            <w:r>
              <w:t>P3 / medium</w:t>
            </w:r>
          </w:p>
        </w:tc>
        <w:tc>
          <w:tcPr>
            <w:tcW w:type="dxa" w:w="4939"/>
            <w:tcMar>
              <w:top w:w="90" w:type="dxa"/>
              <w:start w:w="100" w:type="dxa"/>
              <w:bottom w:w="90" w:type="dxa"/>
              <w:end w:w="100" w:type="dxa"/>
            </w:tcMar>
            <w:vAlign w:val="top"/>
          </w:tcPr>
          <w:p>
            <w:pPr>
              <w:spacing w:after="0"/>
            </w:pPr>
            <w:r>
              <w:t>Single provider/tenant failure, optional Microsoft evidence unavailable unexpectedly, evidence automation failing for selected rules.</w:t>
            </w:r>
          </w:p>
        </w:tc>
      </w:tr>
      <w:tr>
        <w:trPr>
          <w:cantSplit/>
        </w:trPr>
        <w:tc>
          <w:tcPr>
            <w:tcW w:type="dxa" w:w="4939"/>
            <w:tcMar>
              <w:top w:w="90" w:type="dxa"/>
              <w:start w:w="100" w:type="dxa"/>
              <w:bottom w:w="90" w:type="dxa"/>
              <w:end w:w="100" w:type="dxa"/>
            </w:tcMar>
            <w:vAlign w:val="top"/>
          </w:tcPr>
          <w:p>
            <w:pPr>
              <w:spacing w:after="0"/>
            </w:pPr>
            <w:r>
              <w:t>P4 / low</w:t>
            </w:r>
          </w:p>
        </w:tc>
        <w:tc>
          <w:tcPr>
            <w:tcW w:type="dxa" w:w="4939"/>
            <w:tcMar>
              <w:top w:w="90" w:type="dxa"/>
              <w:start w:w="100" w:type="dxa"/>
              <w:bottom w:w="90" w:type="dxa"/>
              <w:end w:w="100" w:type="dxa"/>
            </w:tcMar>
            <w:vAlign w:val="top"/>
          </w:tcPr>
          <w:p>
            <w:pPr>
              <w:spacing w:after="0"/>
            </w:pPr>
            <w:r>
              <w:t>UI status discrepancy, stale non-critical test data, documentation/configuration question.</w:t>
            </w:r>
          </w:p>
        </w:tc>
      </w:tr>
    </w:tbl>
    <w:p>
      <w:pPr>
        <w:spacing w:after="20"/>
      </w:pPr>
    </w:p>
    <w:p>
      <w:pPr>
        <w:pStyle w:val="Heading1"/>
        <w:keepNext/>
      </w:pPr>
      <w:r>
        <w:t>2. Daily and weekly health checks</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Cadence</w:t>
            </w:r>
          </w:p>
        </w:tc>
        <w:tc>
          <w:tcPr>
            <w:tcW w:type="dxa" w:w="4939"/>
            <w:shd w:fill="4B0983"/>
            <w:tcMar>
              <w:top w:w="90" w:type="dxa"/>
              <w:start w:w="100" w:type="dxa"/>
              <w:bottom w:w="90" w:type="dxa"/>
              <w:end w:w="100" w:type="dxa"/>
            </w:tcMar>
            <w:vAlign w:val="center"/>
          </w:tcPr>
          <w:p>
            <w:r>
              <w:rPr>
                <w:b/>
                <w:color w:val="FFFFFF"/>
              </w:rPr>
              <w:t>Check</w:t>
            </w:r>
          </w:p>
        </w:tc>
      </w:tr>
      <w:tr>
        <w:trPr>
          <w:cantSplit/>
        </w:trPr>
        <w:tc>
          <w:tcPr>
            <w:tcW w:type="dxa" w:w="4939"/>
            <w:tcMar>
              <w:top w:w="90" w:type="dxa"/>
              <w:start w:w="100" w:type="dxa"/>
              <w:bottom w:w="90" w:type="dxa"/>
              <w:end w:w="100" w:type="dxa"/>
            </w:tcMar>
            <w:vAlign w:val="top"/>
          </w:tcPr>
          <w:p>
            <w:pPr>
              <w:spacing w:after="0"/>
            </w:pPr>
            <w:r>
              <w:t>Daily</w:t>
            </w:r>
          </w:p>
        </w:tc>
        <w:tc>
          <w:tcPr>
            <w:tcW w:type="dxa" w:w="4939"/>
            <w:tcMar>
              <w:top w:w="90" w:type="dxa"/>
              <w:start w:w="100" w:type="dxa"/>
              <w:bottom w:w="90" w:type="dxa"/>
              <w:end w:w="100" w:type="dxa"/>
            </w:tcMar>
            <w:vAlign w:val="top"/>
          </w:tcPr>
          <w:p>
            <w:pPr>
              <w:spacing w:after="0"/>
            </w:pPr>
            <w:r>
              <w:t>Worker alive and canonical path in use.</w:t>
            </w:r>
          </w:p>
        </w:tc>
      </w:tr>
      <w:tr>
        <w:trPr>
          <w:cantSplit/>
        </w:trPr>
        <w:tc>
          <w:tcPr>
            <w:tcW w:type="dxa" w:w="4939"/>
            <w:tcMar>
              <w:top w:w="90" w:type="dxa"/>
              <w:start w:w="100" w:type="dxa"/>
              <w:bottom w:w="90" w:type="dxa"/>
              <w:end w:w="100" w:type="dxa"/>
            </w:tcMar>
            <w:vAlign w:val="top"/>
          </w:tcPr>
          <w:p>
            <w:pPr>
              <w:spacing w:after="0"/>
            </w:pPr>
            <w:r>
              <w:t>Daily</w:t>
            </w:r>
          </w:p>
        </w:tc>
        <w:tc>
          <w:tcPr>
            <w:tcW w:type="dxa" w:w="4939"/>
            <w:tcMar>
              <w:top w:w="90" w:type="dxa"/>
              <w:start w:w="100" w:type="dxa"/>
              <w:bottom w:w="90" w:type="dxa"/>
              <w:end w:w="100" w:type="dxa"/>
            </w:tcMar>
            <w:vAlign w:val="top"/>
          </w:tcPr>
          <w:p>
            <w:pPr>
              <w:spacing w:after="0"/>
            </w:pPr>
            <w:r>
              <w:t>Scheduler/timer successful; no repeating errors.</w:t>
            </w:r>
          </w:p>
        </w:tc>
      </w:tr>
      <w:tr>
        <w:trPr>
          <w:cantSplit/>
        </w:trPr>
        <w:tc>
          <w:tcPr>
            <w:tcW w:type="dxa" w:w="4939"/>
            <w:tcMar>
              <w:top w:w="90" w:type="dxa"/>
              <w:start w:w="100" w:type="dxa"/>
              <w:bottom w:w="90" w:type="dxa"/>
              <w:end w:w="100" w:type="dxa"/>
            </w:tcMar>
            <w:vAlign w:val="top"/>
          </w:tcPr>
          <w:p>
            <w:pPr>
              <w:spacing w:after="0"/>
            </w:pPr>
            <w:r>
              <w:t>Daily</w:t>
            </w:r>
          </w:p>
        </w:tc>
        <w:tc>
          <w:tcPr>
            <w:tcW w:type="dxa" w:w="4939"/>
            <w:tcMar>
              <w:top w:w="90" w:type="dxa"/>
              <w:start w:w="100" w:type="dxa"/>
              <w:bottom w:w="90" w:type="dxa"/>
              <w:end w:w="100" w:type="dxa"/>
            </w:tcMar>
            <w:vAlign w:val="top"/>
          </w:tcPr>
          <w:p>
            <w:pPr>
              <w:spacing w:after="0"/>
            </w:pPr>
            <w:r>
              <w:t>No unexpected accumulation of queued/running jobs.</w:t>
            </w:r>
          </w:p>
        </w:tc>
      </w:tr>
      <w:tr>
        <w:trPr>
          <w:cantSplit/>
        </w:trPr>
        <w:tc>
          <w:tcPr>
            <w:tcW w:type="dxa" w:w="4939"/>
            <w:tcMar>
              <w:top w:w="90" w:type="dxa"/>
              <w:start w:w="100" w:type="dxa"/>
              <w:bottom w:w="90" w:type="dxa"/>
              <w:end w:w="100" w:type="dxa"/>
            </w:tcMar>
            <w:vAlign w:val="top"/>
          </w:tcPr>
          <w:p>
            <w:pPr>
              <w:spacing w:after="0"/>
            </w:pPr>
            <w:r>
              <w:t>Daily</w:t>
            </w:r>
          </w:p>
        </w:tc>
        <w:tc>
          <w:tcPr>
            <w:tcW w:type="dxa" w:w="4939"/>
            <w:tcMar>
              <w:top w:w="90" w:type="dxa"/>
              <w:start w:w="100" w:type="dxa"/>
              <w:bottom w:w="90" w:type="dxa"/>
              <w:end w:w="100" w:type="dxa"/>
            </w:tcMar>
            <w:vAlign w:val="top"/>
          </w:tcPr>
          <w:p>
            <w:pPr>
              <w:spacing w:after="0"/>
            </w:pPr>
            <w:r>
              <w:t>Recent provider runs are ok/partial for expected reasons; investigate recurring error.</w:t>
            </w:r>
          </w:p>
        </w:tc>
      </w:tr>
      <w:tr>
        <w:trPr>
          <w:cantSplit/>
        </w:trPr>
        <w:tc>
          <w:tcPr>
            <w:tcW w:type="dxa" w:w="4939"/>
            <w:tcMar>
              <w:top w:w="90" w:type="dxa"/>
              <w:start w:w="100" w:type="dxa"/>
              <w:bottom w:w="90" w:type="dxa"/>
              <w:end w:w="100" w:type="dxa"/>
            </w:tcMar>
            <w:vAlign w:val="top"/>
          </w:tcPr>
          <w:p>
            <w:pPr>
              <w:spacing w:after="0"/>
            </w:pPr>
            <w:r>
              <w:t>Weekly</w:t>
            </w:r>
          </w:p>
        </w:tc>
        <w:tc>
          <w:tcPr>
            <w:tcW w:type="dxa" w:w="4939"/>
            <w:tcMar>
              <w:top w:w="90" w:type="dxa"/>
              <w:start w:w="100" w:type="dxa"/>
              <w:bottom w:w="90" w:type="dxa"/>
              <w:end w:w="100" w:type="dxa"/>
            </w:tcMar>
            <w:vAlign w:val="top"/>
          </w:tcPr>
          <w:p>
            <w:pPr>
              <w:spacing w:after="0"/>
            </w:pPr>
            <w:r>
              <w:t>Review credential expiry ownership and upcoming secret rotations.</w:t>
            </w:r>
          </w:p>
        </w:tc>
      </w:tr>
      <w:tr>
        <w:trPr>
          <w:cantSplit/>
        </w:trPr>
        <w:tc>
          <w:tcPr>
            <w:tcW w:type="dxa" w:w="4939"/>
            <w:tcMar>
              <w:top w:w="90" w:type="dxa"/>
              <w:start w:w="100" w:type="dxa"/>
              <w:bottom w:w="90" w:type="dxa"/>
              <w:end w:w="100" w:type="dxa"/>
            </w:tcMar>
            <w:vAlign w:val="top"/>
          </w:tcPr>
          <w:p>
            <w:pPr>
              <w:spacing w:after="0"/>
            </w:pPr>
            <w:r>
              <w:t>Weekly</w:t>
            </w:r>
          </w:p>
        </w:tc>
        <w:tc>
          <w:tcPr>
            <w:tcW w:type="dxa" w:w="4939"/>
            <w:tcMar>
              <w:top w:w="90" w:type="dxa"/>
              <w:start w:w="100" w:type="dxa"/>
              <w:bottom w:w="90" w:type="dxa"/>
              <w:end w:w="100" w:type="dxa"/>
            </w:tcMar>
            <w:vAlign w:val="top"/>
          </w:tcPr>
          <w:p>
            <w:pPr>
              <w:spacing w:after="0"/>
            </w:pPr>
            <w:r>
              <w:t>Review failed/inconclusive automated Control test runs and related issues.</w:t>
            </w:r>
          </w:p>
        </w:tc>
      </w:tr>
      <w:tr>
        <w:trPr>
          <w:cantSplit/>
        </w:trPr>
        <w:tc>
          <w:tcPr>
            <w:tcW w:type="dxa" w:w="4939"/>
            <w:tcMar>
              <w:top w:w="90" w:type="dxa"/>
              <w:start w:w="100" w:type="dxa"/>
              <w:bottom w:w="90" w:type="dxa"/>
              <w:end w:w="100" w:type="dxa"/>
            </w:tcMar>
            <w:vAlign w:val="top"/>
          </w:tcPr>
          <w:p>
            <w:pPr>
              <w:spacing w:after="0"/>
            </w:pPr>
            <w:r>
              <w:t>Weekly</w:t>
            </w:r>
          </w:p>
        </w:tc>
        <w:tc>
          <w:tcPr>
            <w:tcW w:type="dxa" w:w="4939"/>
            <w:tcMar>
              <w:top w:w="90" w:type="dxa"/>
              <w:start w:w="100" w:type="dxa"/>
              <w:bottom w:w="90" w:type="dxa"/>
              <w:end w:w="100" w:type="dxa"/>
            </w:tcMar>
            <w:vAlign w:val="top"/>
          </w:tcPr>
          <w:p>
            <w:pPr>
              <w:spacing w:after="0"/>
            </w:pPr>
            <w:r>
              <w:t>Review optional Microsoft stream availability when licensing/permissions changed.</w:t>
            </w:r>
          </w:p>
        </w:tc>
      </w:tr>
      <w:tr>
        <w:tc>
          <w:tcPr>
            <w:tcW w:type="dxa" w:w="4939"/>
          </w:tcPr>
          <w:p>
            <w:r>
              <w:t>Daily</w:t>
            </w:r>
          </w:p>
        </w:tc>
        <w:tc>
          <w:tcPr>
            <w:tcW w:type="dxa" w:w="4939"/>
          </w:tcPr>
          <w:p>
            <w:r>
              <w:t>Confirm disabled capabilities are not being queued by manual or scheduled execution.</w:t>
            </w:r>
          </w:p>
        </w:tc>
      </w:tr>
    </w:tbl>
    <w:p>
      <w:pPr>
        <w:spacing w:after="20"/>
      </w:pPr>
    </w:p>
    <w:p>
      <w:pPr>
        <w:pStyle w:val="Heading1"/>
        <w:keepNext/>
      </w:pPr>
      <w:r>
        <w:t>3. Windows service/task operations</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Get-CimInstance Win32_Process |</w:t>
              <w:br/>
              <w:t xml:space="preserve">  Where-Object { $_.Name -match '^php' -and $_.CommandLine -match 'integration_(worker|scheduler)' } |</w:t>
              <w:br/>
              <w:t xml:space="preserve">  Select-Object ProcessId,Name,CommandLine</w:t>
            </w:r>
          </w:p>
        </w:tc>
      </w:tr>
    </w:tbl>
    <w:p>
      <w:pPr>
        <w:spacing w:after="20"/>
      </w:pPr>
    </w:p>
    <w:p>
      <w:pPr>
        <w:spacing w:after="100"/>
      </w:pPr>
      <w:r>
        <w:t>Expected persistent process: C:\wamp64\compout\assets\integration_management\integration_worker.php. The scheduler may not appear because it runs and exits quickly.</w:t>
      </w:r>
    </w:p>
    <w:p>
      <w:pPr>
        <w:pStyle w:val="ListBullet"/>
        <w:spacing w:after="40"/>
      </w:pPr>
      <w:r>
        <w:t>Task Scheduler Worker action should invoke the canonical integration_worker.php.</w:t>
      </w:r>
    </w:p>
    <w:p>
      <w:pPr>
        <w:pStyle w:val="ListBullet"/>
        <w:spacing w:after="40"/>
      </w:pPr>
      <w:r>
        <w:t>Task Scheduler Scheduler action should invoke integration_scheduler.php, not cron_asset_integration_sync.php.</w:t>
      </w:r>
    </w:p>
    <w:p>
      <w:pPr>
        <w:pStyle w:val="ListBullet"/>
        <w:spacing w:after="40"/>
      </w:pPr>
      <w:r>
        <w:t>After editing a running worker task, end and restart the task so the old PHP process is actually replaced.</w:t>
      </w:r>
    </w:p>
    <w:p>
      <w:pPr>
        <w:pStyle w:val="Heading1"/>
        <w:keepNext/>
      </w:pPr>
      <w:r>
        <w:t>4. Linux systemd operations</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sudo systemctl status purplewasp-integration-worker.service --no-pager</w:t>
              <w:br/>
              <w:t>sudo systemctl status purplewasp-integration-scheduler.timer --no-pager</w:t>
              <w:br/>
              <w:t>sudo journalctl -u purplewasp-integration-scheduler.service -n 50 --no-pager</w:t>
              <w:br/>
              <w:t>ps -ef | grep -E '[p]hp.*integration_worker'</w:t>
            </w:r>
          </w:p>
        </w:tc>
      </w:tr>
    </w:tbl>
    <w:p>
      <w:pPr>
        <w:spacing w:after="20"/>
      </w:pP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Component</w:t>
            </w:r>
          </w:p>
        </w:tc>
        <w:tc>
          <w:tcPr>
            <w:tcW w:type="dxa" w:w="4939"/>
            <w:shd w:fill="4B0983"/>
            <w:tcMar>
              <w:top w:w="90" w:type="dxa"/>
              <w:start w:w="100" w:type="dxa"/>
              <w:bottom w:w="90" w:type="dxa"/>
              <w:end w:w="100" w:type="dxa"/>
            </w:tcMar>
            <w:vAlign w:val="center"/>
          </w:tcPr>
          <w:p>
            <w:r>
              <w:rPr>
                <w:b/>
                <w:color w:val="FFFFFF"/>
              </w:rPr>
              <w:t>Healthy state</w:t>
            </w:r>
          </w:p>
        </w:tc>
      </w:tr>
      <w:tr>
        <w:trPr>
          <w:cantSplit/>
        </w:trPr>
        <w:tc>
          <w:tcPr>
            <w:tcW w:type="dxa" w:w="4939"/>
            <w:tcMar>
              <w:top w:w="90" w:type="dxa"/>
              <w:start w:w="100" w:type="dxa"/>
              <w:bottom w:w="90" w:type="dxa"/>
              <w:end w:w="100" w:type="dxa"/>
            </w:tcMar>
            <w:vAlign w:val="top"/>
          </w:tcPr>
          <w:p>
            <w:pPr>
              <w:spacing w:after="0"/>
            </w:pPr>
            <w:r>
              <w:t>Worker service</w:t>
            </w:r>
          </w:p>
        </w:tc>
        <w:tc>
          <w:tcPr>
            <w:tcW w:type="dxa" w:w="4939"/>
            <w:tcMar>
              <w:top w:w="90" w:type="dxa"/>
              <w:start w:w="100" w:type="dxa"/>
              <w:bottom w:w="90" w:type="dxa"/>
              <w:end w:w="100" w:type="dxa"/>
            </w:tcMar>
            <w:vAlign w:val="top"/>
          </w:tcPr>
          <w:p>
            <w:pPr>
              <w:spacing w:after="0"/>
            </w:pPr>
            <w:r>
              <w:t>active/running; ExecStart points to /var/compout/assets/integration_management/integration_worker.php.</w:t>
            </w:r>
          </w:p>
        </w:tc>
      </w:tr>
      <w:tr>
        <w:trPr>
          <w:cantSplit/>
        </w:trPr>
        <w:tc>
          <w:tcPr>
            <w:tcW w:type="dxa" w:w="4939"/>
            <w:tcMar>
              <w:top w:w="90" w:type="dxa"/>
              <w:start w:w="100" w:type="dxa"/>
              <w:bottom w:w="90" w:type="dxa"/>
              <w:end w:w="100" w:type="dxa"/>
            </w:tcMar>
            <w:vAlign w:val="top"/>
          </w:tcPr>
          <w:p>
            <w:pPr>
              <w:spacing w:after="0"/>
            </w:pPr>
            <w:r>
              <w:t>Scheduler timer</w:t>
            </w:r>
          </w:p>
        </w:tc>
        <w:tc>
          <w:tcPr>
            <w:tcW w:type="dxa" w:w="4939"/>
            <w:tcMar>
              <w:top w:w="90" w:type="dxa"/>
              <w:start w:w="100" w:type="dxa"/>
              <w:bottom w:w="90" w:type="dxa"/>
              <w:end w:w="100" w:type="dxa"/>
            </w:tcMar>
            <w:vAlign w:val="top"/>
          </w:tcPr>
          <w:p>
            <w:pPr>
              <w:spacing w:after="0"/>
            </w:pPr>
            <w:r>
              <w:t>enabled/active and next trigger visible.</w:t>
            </w:r>
          </w:p>
        </w:tc>
      </w:tr>
      <w:tr>
        <w:trPr>
          <w:cantSplit/>
        </w:trPr>
        <w:tc>
          <w:tcPr>
            <w:tcW w:type="dxa" w:w="4939"/>
            <w:tcMar>
              <w:top w:w="90" w:type="dxa"/>
              <w:start w:w="100" w:type="dxa"/>
              <w:bottom w:w="90" w:type="dxa"/>
              <w:end w:w="100" w:type="dxa"/>
            </w:tcMar>
            <w:vAlign w:val="top"/>
          </w:tcPr>
          <w:p>
            <w:pPr>
              <w:spacing w:after="0"/>
            </w:pPr>
            <w:r>
              <w:t>Scheduler service</w:t>
            </w:r>
          </w:p>
        </w:tc>
        <w:tc>
          <w:tcPr>
            <w:tcW w:type="dxa" w:w="4939"/>
            <w:tcMar>
              <w:top w:w="90" w:type="dxa"/>
              <w:start w:w="100" w:type="dxa"/>
              <w:bottom w:w="90" w:type="dxa"/>
              <w:end w:w="100" w:type="dxa"/>
            </w:tcMar>
            <w:vAlign w:val="top"/>
          </w:tcPr>
          <w:p>
            <w:pPr>
              <w:spacing w:after="0"/>
            </w:pPr>
            <w:r>
              <w:t>Normally inactive/dead between runs; last execution status=0/SUCCESS.</w:t>
            </w:r>
          </w:p>
        </w:tc>
      </w:tr>
    </w:tbl>
    <w:p>
      <w:pPr>
        <w:spacing w:after="20"/>
      </w:pPr>
    </w:p>
    <w:p>
      <w:pPr>
        <w:pStyle w:val="Heading1"/>
        <w:keepNext/>
      </w:pPr>
      <w:r>
        <w:t>5. Jobs and runs triage</w:t>
      </w:r>
    </w:p>
    <w:p>
      <w:pPr>
        <w:pStyle w:val="ListNumber"/>
        <w:spacing w:after="40"/>
      </w:pPr>
      <w:r>
        <w:t>Identify the tenant, integration ID, provider and capability.</w:t>
      </w:r>
    </w:p>
    <w:p>
      <w:pPr>
        <w:pStyle w:val="ListNumber"/>
        <w:spacing w:after="40"/>
      </w:pPr>
      <w:r>
        <w:t>Check the newest integration_jobs rows: queued, running, success or failed.</w:t>
      </w:r>
    </w:p>
    <w:p>
      <w:pPr>
        <w:pStyle w:val="ListNumber"/>
        <w:spacing w:after="40"/>
      </w:pPr>
      <w:r>
        <w:t>If queued: confirm available_at is not in the future and the worker is alive.</w:t>
      </w:r>
    </w:p>
    <w:p>
      <w:pPr>
        <w:pStyle w:val="ListNumber"/>
        <w:spacing w:after="40"/>
      </w:pPr>
      <w:r>
        <w:t>If running for too long: inspect worker/service log and lock/heartbeat state before forcing recovery.</w:t>
      </w:r>
    </w:p>
    <w:p>
      <w:pPr>
        <w:pStyle w:val="ListNumber"/>
        <w:spacing w:after="40"/>
      </w:pPr>
      <w:r>
        <w:t>If failed: read the friendly message, then use the protected server log for the technical cause.</w:t>
      </w:r>
    </w:p>
    <w:p>
      <w:pPr>
        <w:pStyle w:val="ListNumber"/>
        <w:spacing w:after="40"/>
      </w:pPr>
      <w:r>
        <w:t>Inspect integration_runs and integration_run_metrics to determine whether the provider call failed entirely or produced a partial result.</w:t>
      </w:r>
    </w:p>
    <w:p>
      <w:pPr>
        <w:pStyle w:val="ListNumber"/>
        <w:spacing w:after="40"/>
      </w:pPr>
      <w:r>
        <w:t>Check integration_sync_state before resetting watermarks; do not destroy a valid last-success state merely to retry.</w:t>
      </w:r>
    </w:p>
    <w:p>
      <w:pPr>
        <w:pStyle w:val="Heading1"/>
        <w:keepNext/>
      </w:pPr>
      <w:r>
        <w:t>6. Microsoft capability triage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t>Microsoft symptom</w:t>
            </w:r>
          </w:p>
        </w:tc>
        <w:tc>
          <w:tcPr>
            <w:tcW w:type="dxa" w:w="4939"/>
            <w:shd w:fill="4B0983"/>
            <w:tcMar>
              <w:top w:w="90" w:type="dxa"/>
              <w:start w:w="100" w:type="dxa"/>
              <w:bottom w:w="90" w:type="dxa"/>
              <w:end w:w="100" w:type="dxa"/>
            </w:tcMar>
            <w:vAlign w:val="center"/>
          </w:tcPr>
          <w:p>
            <w:r>
              <w:rPr>
                <w:b/>
                <w:color w:val="FFFFFF"/>
              </w:rPr>
              <w:t>Action</w:t>
            </w:r>
          </w:p>
        </w:tc>
      </w:tr>
      <w:tr>
        <w:trPr>
          <w:cantSplit/>
        </w:trPr>
        <w:tc>
          <w:tcPr>
            <w:tcW w:type="dxa" w:w="4939"/>
            <w:tcMar>
              <w:top w:w="90" w:type="dxa"/>
              <w:start w:w="100" w:type="dxa"/>
              <w:bottom w:w="90" w:type="dxa"/>
              <w:end w:w="100" w:type="dxa"/>
            </w:tcMar>
            <w:vAlign w:val="top"/>
          </w:tcPr>
          <w:p>
            <w:r>
              <w:t>Shared token failure</w:t>
            </w:r>
          </w:p>
        </w:tc>
        <w:tc>
          <w:tcPr>
            <w:tcW w:type="dxa" w:w="4939"/>
            <w:tcMar>
              <w:top w:w="90" w:type="dxa"/>
              <w:start w:w="100" w:type="dxa"/>
              <w:bottom w:w="90" w:type="dxa"/>
              <w:end w:w="100" w:type="dxa"/>
            </w:tcMar>
            <w:vAlign w:val="top"/>
          </w:tcPr>
          <w:p>
            <w:r>
              <w:t>Verify tenant ID, client ID, secret validity/expiry, admin consent and outbound HTTPS. A shared token failure affects the Microsoft connection.</w:t>
            </w:r>
          </w:p>
        </w:tc>
      </w:tr>
      <w:tr>
        <w:trPr>
          <w:cantSplit/>
        </w:trPr>
        <w:tc>
          <w:tcPr>
            <w:tcW w:type="dxa" w:w="4939"/>
            <w:tcMar>
              <w:top w:w="90" w:type="dxa"/>
              <w:start w:w="100" w:type="dxa"/>
              <w:bottom w:w="90" w:type="dxa"/>
              <w:end w:w="100" w:type="dxa"/>
            </w:tcMar>
            <w:vAlign w:val="top"/>
          </w:tcPr>
          <w:p>
            <w:r>
              <w:t>Entra users/roles/Security Defaults failure</w:t>
            </w:r>
          </w:p>
        </w:tc>
        <w:tc>
          <w:tcPr>
            <w:tcW w:type="dxa" w:w="4939"/>
            <w:tcMar>
              <w:top w:w="90" w:type="dxa"/>
              <w:start w:w="100" w:type="dxa"/>
              <w:bottom w:w="90" w:type="dxa"/>
              <w:end w:w="100" w:type="dxa"/>
            </w:tcMar>
            <w:vAlign w:val="top"/>
          </w:tcPr>
          <w:p>
            <w:r>
              <w:t>Treat as required Entra failure; confirm Graph application permissions and consent.</w:t>
            </w:r>
          </w:p>
        </w:tc>
      </w:tr>
      <w:tr>
        <w:trPr>
          <w:cantSplit/>
        </w:trPr>
        <w:tc>
          <w:tcPr>
            <w:tcW w:type="dxa" w:w="4939"/>
            <w:tcMar>
              <w:top w:w="90" w:type="dxa"/>
              <w:start w:w="100" w:type="dxa"/>
              <w:bottom w:w="90" w:type="dxa"/>
              <w:end w:w="100" w:type="dxa"/>
            </w:tcMar>
            <w:vAlign w:val="top"/>
          </w:tcPr>
          <w:p>
            <w:pPr>
              <w:spacing w:after="0"/>
            </w:pPr>
            <w:r>
              <w:t>MFA registration unavailable</w:t>
            </w:r>
          </w:p>
        </w:tc>
        <w:tc>
          <w:tcPr>
            <w:tcW w:type="dxa" w:w="4939"/>
            <w:tcMar>
              <w:top w:w="90" w:type="dxa"/>
              <w:start w:w="100" w:type="dxa"/>
              <w:bottom w:w="90" w:type="dxa"/>
              <w:end w:w="100" w:type="dxa"/>
            </w:tcMar>
            <w:vAlign w:val="top"/>
          </w:tcPr>
          <w:p>
            <w:pPr>
              <w:spacing w:after="0"/>
            </w:pPr>
            <w:r>
              <w:t>May be licence/permission dependent. If required streams pass, connection can be valid with limited evidence.</w:t>
            </w:r>
          </w:p>
        </w:tc>
      </w:tr>
      <w:tr>
        <w:trPr>
          <w:cantSplit/>
        </w:trPr>
        <w:tc>
          <w:tcPr>
            <w:tcW w:type="dxa" w:w="4939"/>
            <w:tcMar>
              <w:top w:w="90" w:type="dxa"/>
              <w:start w:w="100" w:type="dxa"/>
              <w:bottom w:w="90" w:type="dxa"/>
              <w:end w:w="100" w:type="dxa"/>
            </w:tcMar>
            <w:vAlign w:val="top"/>
          </w:tcPr>
          <w:p>
            <w:pPr>
              <w:spacing w:after="0"/>
            </w:pPr>
            <w:r>
              <w:t>signInActivity unavailable</w:t>
            </w:r>
          </w:p>
        </w:tc>
        <w:tc>
          <w:tcPr>
            <w:tcW w:type="dxa" w:w="4939"/>
            <w:tcMar>
              <w:top w:w="90" w:type="dxa"/>
              <w:start w:w="100" w:type="dxa"/>
              <w:bottom w:w="90" w:type="dxa"/>
              <w:end w:w="100" w:type="dxa"/>
            </w:tcMar>
            <w:vAlign w:val="top"/>
          </w:tcPr>
          <w:p>
            <w:pPr>
              <w:spacing w:after="0"/>
            </w:pPr>
            <w:r>
              <w:t>Stale-account automation should be inconclusive; do not force a pass/fail.</w:t>
            </w:r>
          </w:p>
        </w:tc>
      </w:tr>
      <w:tr>
        <w:trPr>
          <w:cantSplit/>
        </w:trPr>
        <w:tc>
          <w:tcPr>
            <w:tcW w:type="dxa" w:w="4939"/>
            <w:tcMar>
              <w:top w:w="90" w:type="dxa"/>
              <w:start w:w="100" w:type="dxa"/>
              <w:bottom w:w="90" w:type="dxa"/>
              <w:end w:w="100" w:type="dxa"/>
            </w:tcMar>
            <w:vAlign w:val="top"/>
          </w:tcPr>
          <w:p>
            <w:pPr>
              <w:spacing w:after="0"/>
            </w:pPr>
            <w:r>
              <w:t>Conditional Access unavailable</w:t>
            </w:r>
          </w:p>
        </w:tc>
        <w:tc>
          <w:tcPr>
            <w:tcW w:type="dxa" w:w="4939"/>
            <w:tcMar>
              <w:top w:w="90" w:type="dxa"/>
              <w:start w:w="100" w:type="dxa"/>
              <w:bottom w:w="90" w:type="dxa"/>
              <w:end w:w="100" w:type="dxa"/>
            </w:tcMar>
            <w:vAlign w:val="top"/>
          </w:tcPr>
          <w:p>
            <w:pPr>
              <w:spacing w:after="0"/>
            </w:pPr>
            <w:r>
              <w:t>Record limited stream availability and verify tenant licensing/permissions before escalating as defect.</w:t>
            </w:r>
          </w:p>
        </w:tc>
      </w:tr>
      <w:tr>
        <w:trPr>
          <w:cantSplit/>
        </w:trPr>
        <w:tc>
          <w:tcPr>
            <w:tcW w:type="dxa" w:w="4939"/>
            <w:tcMar>
              <w:top w:w="90" w:type="dxa"/>
              <w:start w:w="100" w:type="dxa"/>
              <w:bottom w:w="90" w:type="dxa"/>
              <w:end w:w="100" w:type="dxa"/>
            </w:tcMar>
            <w:vAlign w:val="top"/>
          </w:tcPr>
          <w:p>
            <w:pPr>
              <w:spacing w:after="0"/>
            </w:pPr>
            <w:r>
              <w:t>Privileged assignments include groups</w:t>
            </w:r>
          </w:p>
        </w:tc>
        <w:tc>
          <w:tcPr>
            <w:tcW w:type="dxa" w:w="4939"/>
            <w:tcMar>
              <w:top w:w="90" w:type="dxa"/>
              <w:start w:w="100" w:type="dxa"/>
              <w:bottom w:w="90" w:type="dxa"/>
              <w:end w:w="100" w:type="dxa"/>
            </w:tcMar>
            <w:vAlign w:val="top"/>
          </w:tcPr>
          <w:p>
            <w:pPr>
              <w:spacing w:after="0"/>
            </w:pPr>
            <w:r>
              <w:t>Direct-user MFA result does not prove group-derived privileged users; keep scope limitation/inconclusive semantics.</w:t>
            </w:r>
          </w:p>
        </w:tc>
      </w:tr>
      <w:tr>
        <w:tc>
          <w:tcPr>
            <w:tcW w:type="dxa" w:w="4939"/>
          </w:tcPr>
          <w:p>
            <w:r>
              <w:t>Microsoft 365 Security run is partial</w:t>
            </w:r>
          </w:p>
        </w:tc>
        <w:tc>
          <w:tcPr>
            <w:tcW w:type="dxa" w:w="4939"/>
          </w:tcPr>
          <w:p>
            <w:r>
              <w:t>Inspect collection_status. Secure Score/control data can be usable while incidents/alerts are unavailable because the tenant account/service is not provisioned for those streams.</w:t>
            </w:r>
          </w:p>
        </w:tc>
      </w:tr>
      <w:tr>
        <w:tc>
          <w:tcPr>
            <w:tcW w:type="dxa" w:w="4939"/>
          </w:tcPr>
          <w:p>
            <w:r>
              <w:t>Intune: “Request not applicable to target tenant”</w:t>
            </w:r>
          </w:p>
        </w:tc>
        <w:tc>
          <w:tcPr>
            <w:tcW w:type="dxa" w:w="4939"/>
          </w:tcPr>
          <w:p>
            <w:r>
              <w:t>Usually indicates Intune is not provisioned/licensed for the tenant. Disable microsoft.intune_devices until a licensed tenant is available; if licensed, verify DeviceManagementManagedDevices.Read.All and DeviceManagementConfiguration.Read.All application permissions and admin consent.</w:t>
            </w:r>
          </w:p>
        </w:tc>
      </w:tr>
      <w:tr>
        <w:tc>
          <w:tcPr>
            <w:tcW w:type="dxa" w:w="4939"/>
          </w:tcPr>
          <w:p>
            <w:r>
              <w:t>Defender for Endpoint: HTTP 403 / No active license found</w:t>
            </w:r>
          </w:p>
        </w:tc>
        <w:tc>
          <w:tcPr>
            <w:tcW w:type="dxa" w:w="4939"/>
          </w:tcPr>
          <w:p>
            <w:r>
              <w:t>Treat as tenant/licence unavailability rather than a shared Microsoft connection defect. Disable microsoft.defender_endpoint until a licensed tenant is available.</w:t>
            </w:r>
          </w:p>
        </w:tc>
      </w:tr>
      <w:tr>
        <w:tc>
          <w:tcPr>
            <w:tcW w:type="dxa" w:w="4939"/>
          </w:tcPr>
          <w:p>
            <w:r>
              <w:t>Azure authenticates but returns zero subscriptions/resources</w:t>
            </w:r>
          </w:p>
        </w:tc>
        <w:tc>
          <w:tcPr>
            <w:tcW w:type="dxa" w:w="4939"/>
          </w:tcPr>
          <w:p>
            <w:r>
              <w:t>Verify the service principal has Reader at the required subscription scope; add Security Reader where Defender for Cloud posture is expected.</w:t>
            </w:r>
          </w:p>
        </w:tc>
      </w:tr>
      <w:tr>
        <w:tc>
          <w:tcPr>
            <w:tcW w:type="dxa" w:w="4939"/>
          </w:tcPr>
          <w:p>
            <w:r>
              <w:t>Disabled capability still queues jobs</w:t>
            </w:r>
          </w:p>
        </w:tc>
        <w:tc>
          <w:tcPr>
            <w:tcW w:type="dxa" w:w="4939"/>
          </w:tcPr>
          <w:p>
            <w:r>
              <w:t>Verify integration_capabilities.is_enabled=0, confirm the current worker/scheduler code is deployed, and restart long-running workers after runtime changes.</w:t>
            </w:r>
          </w:p>
        </w:tc>
      </w:tr>
    </w:tbl>
    <w:p>
      <w:pPr>
        <w:spacing w:after="20"/>
      </w:pPr>
    </w:p>
    <w:p>
      <w:pPr>
        <w:pStyle w:val="Heading1"/>
        <w:keepNext/>
      </w:pPr>
      <w:r>
        <w:t>7. Qualys triage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Symptom</w:t>
            </w:r>
          </w:p>
        </w:tc>
        <w:tc>
          <w:tcPr>
            <w:tcW w:type="dxa" w:w="4939"/>
            <w:shd w:fill="4B0983"/>
            <w:tcMar>
              <w:top w:w="90" w:type="dxa"/>
              <w:start w:w="100" w:type="dxa"/>
              <w:bottom w:w="90" w:type="dxa"/>
              <w:end w:w="100" w:type="dxa"/>
            </w:tcMar>
            <w:vAlign w:val="center"/>
          </w:tcPr>
          <w:p>
            <w:r>
              <w:rPr>
                <w:b/>
                <w:color w:val="FFFFFF"/>
              </w:rPr>
              <w:t>Action</w:t>
            </w:r>
          </w:p>
        </w:tc>
      </w:tr>
      <w:tr>
        <w:trPr>
          <w:cantSplit/>
        </w:trPr>
        <w:tc>
          <w:tcPr>
            <w:tcW w:type="dxa" w:w="4939"/>
            <w:tcMar>
              <w:top w:w="90" w:type="dxa"/>
              <w:start w:w="100" w:type="dxa"/>
              <w:bottom w:w="90" w:type="dxa"/>
              <w:end w:w="100" w:type="dxa"/>
            </w:tcMar>
            <w:vAlign w:val="top"/>
          </w:tcPr>
          <w:p>
            <w:pPr>
              <w:spacing w:after="0"/>
            </w:pPr>
            <w:r>
              <w:t>Test Connection fails</w:t>
            </w:r>
          </w:p>
        </w:tc>
        <w:tc>
          <w:tcPr>
            <w:tcW w:type="dxa" w:w="4939"/>
            <w:tcMar>
              <w:top w:w="90" w:type="dxa"/>
              <w:start w:w="100" w:type="dxa"/>
              <w:bottom w:w="90" w:type="dxa"/>
              <w:end w:w="100" w:type="dxa"/>
            </w:tcMar>
            <w:vAlign w:val="top"/>
          </w:tcPr>
          <w:p>
            <w:pPr>
              <w:spacing w:after="0"/>
            </w:pPr>
            <w:r>
              <w:t>Check base URL/platform region, credentials, API access and TLS/CA configuration.</w:t>
            </w:r>
          </w:p>
        </w:tc>
      </w:tr>
      <w:tr>
        <w:trPr>
          <w:cantSplit/>
        </w:trPr>
        <w:tc>
          <w:tcPr>
            <w:tcW w:type="dxa" w:w="4939"/>
            <w:tcMar>
              <w:top w:w="90" w:type="dxa"/>
              <w:start w:w="100" w:type="dxa"/>
              <w:bottom w:w="90" w:type="dxa"/>
              <w:end w:w="100" w:type="dxa"/>
            </w:tcMar>
            <w:vAlign w:val="top"/>
          </w:tcPr>
          <w:p>
            <w:pPr>
              <w:spacing w:after="0"/>
            </w:pPr>
            <w:r>
              <w:t>Run succeeds but no vulnerability data changes</w:t>
            </w:r>
          </w:p>
        </w:tc>
        <w:tc>
          <w:tcPr>
            <w:tcW w:type="dxa" w:w="4939"/>
            <w:tcMar>
              <w:top w:w="90" w:type="dxa"/>
              <w:start w:w="100" w:type="dxa"/>
              <w:bottom w:w="90" w:type="dxa"/>
              <w:end w:w="100" w:type="dxa"/>
            </w:tcMar>
            <w:vAlign w:val="top"/>
          </w:tcPr>
          <w:p>
            <w:pPr>
              <w:spacing w:after="0"/>
            </w:pPr>
            <w:r>
              <w:t>Inspect run counts, Asset-domain ingestion/matching and provider result population.</w:t>
            </w:r>
          </w:p>
        </w:tc>
      </w:tr>
      <w:tr>
        <w:trPr>
          <w:cantSplit/>
        </w:trPr>
        <w:tc>
          <w:tcPr>
            <w:tcW w:type="dxa" w:w="4939"/>
            <w:tcMar>
              <w:top w:w="90" w:type="dxa"/>
              <w:start w:w="100" w:type="dxa"/>
              <w:bottom w:w="90" w:type="dxa"/>
              <w:end w:w="100" w:type="dxa"/>
            </w:tcMar>
            <w:vAlign w:val="top"/>
          </w:tcPr>
          <w:p>
            <w:pPr>
              <w:spacing w:after="0"/>
            </w:pPr>
            <w:r>
              <w:t>Qualys runtime tries to load Asset helper files</w:t>
            </w:r>
          </w:p>
        </w:tc>
        <w:tc>
          <w:tcPr>
            <w:tcW w:type="dxa" w:w="4939"/>
            <w:tcMar>
              <w:top w:w="90" w:type="dxa"/>
              <w:start w:w="100" w:type="dxa"/>
              <w:bottom w:w="90" w:type="dxa"/>
              <w:end w:w="100" w:type="dxa"/>
            </w:tcMar>
            <w:vAlign w:val="top"/>
          </w:tcPr>
          <w:p>
            <w:pPr>
              <w:spacing w:after="0"/>
            </w:pPr>
            <w:r>
              <w:t>Deployment is stale; Qualys runtime must load shared helpers from Integration Management.</w:t>
            </w:r>
          </w:p>
        </w:tc>
      </w:tr>
      <w:tr>
        <w:trPr>
          <w:cantSplit/>
        </w:trPr>
        <w:tc>
          <w:tcPr>
            <w:tcW w:type="dxa" w:w="4939"/>
            <w:tcMar>
              <w:top w:w="90" w:type="dxa"/>
              <w:start w:w="100" w:type="dxa"/>
              <w:bottom w:w="90" w:type="dxa"/>
              <w:end w:w="100" w:type="dxa"/>
            </w:tcMar>
            <w:vAlign w:val="top"/>
          </w:tcPr>
          <w:p>
            <w:pPr>
              <w:spacing w:after="0"/>
            </w:pPr>
            <w:r>
              <w:t>Asset exposure page missing findings</w:t>
            </w:r>
          </w:p>
        </w:tc>
        <w:tc>
          <w:tcPr>
            <w:tcW w:type="dxa" w:w="4939"/>
            <w:tcMar>
              <w:top w:w="90" w:type="dxa"/>
              <w:start w:w="100" w:type="dxa"/>
              <w:bottom w:w="90" w:type="dxa"/>
              <w:end w:w="100" w:type="dxa"/>
            </w:tcMar>
            <w:vAlign w:val="top"/>
          </w:tcPr>
          <w:p>
            <w:pPr>
              <w:spacing w:after="0"/>
            </w:pPr>
            <w:r>
              <w:t>Confirm Integration Management run succeeded, then inspect Asset vulnerability_integration processing rather than moving control-plane code back into Asset Management.</w:t>
            </w:r>
          </w:p>
        </w:tc>
      </w:tr>
    </w:tbl>
    <w:p>
      <w:pPr>
        <w:spacing w:after="20"/>
      </w:pPr>
    </w:p>
    <w:p>
      <w:pPr>
        <w:pStyle w:val="Heading1"/>
        <w:keepNext/>
      </w:pPr>
      <w:r>
        <w:t>8. Control evidence automation triage</w:t>
      </w:r>
    </w:p>
    <w:p>
      <w:pPr>
        <w:pStyle w:val="ListNumber"/>
        <w:spacing w:after="40"/>
      </w:pPr>
      <w:r>
        <w:t>Confirm the organisation Control is adopted, applicable and active.</w:t>
      </w:r>
    </w:p>
    <w:p>
      <w:pPr>
        <w:pStyle w:val="ListNumber"/>
        <w:spacing w:after="40"/>
      </w:pPr>
      <w:r>
        <w:t>Confirm the canonical automation rule is active and mapped to the correct global Control.</w:t>
      </w:r>
    </w:p>
    <w:p>
      <w:pPr>
        <w:pStyle w:val="ListNumber"/>
        <w:spacing w:after="40"/>
      </w:pPr>
      <w:r>
        <w:t>Confirm the integration run produced the required observation types or a collection-status fact explaining absence.</w:t>
      </w:r>
    </w:p>
    <w:p>
      <w:pPr>
        <w:pStyle w:val="ListNumber"/>
        <w:spacing w:after="40"/>
      </w:pPr>
      <w:r>
        <w:t>Check whether the same run/rule has already been materialised; duplicates should be skipped intentionally.</w:t>
      </w:r>
    </w:p>
    <w:p>
      <w:pPr>
        <w:pStyle w:val="ListNumber"/>
        <w:spacing w:after="40"/>
      </w:pPr>
      <w:r>
        <w:t>Inspect the per-rule automation result. Provider-run success does not guarantee every rule evaluation succeeds.</w:t>
      </w:r>
    </w:p>
    <w:p>
      <w:pPr>
        <w:pStyle w:val="ListNumber"/>
        <w:spacing w:after="40"/>
      </w:pPr>
      <w:r>
        <w:t>If a newer run exists, confirm previous integration evidence is archived and the newest evidence is current.</w:t>
      </w:r>
    </w:p>
    <w:p>
      <w:pPr>
        <w:pStyle w:val="ListNumber"/>
        <w:spacing w:after="40"/>
      </w:pPr>
      <w:r>
        <w:t>Never repair automation by manually changing Control implementation_status.</w:t>
      </w:r>
    </w:p>
    <w:tbl>
      <w:tblPr>
        <w:tblW w:type="auto" w:w="0"/>
        <w:jc w:val="center"/>
        <w:tblLook w:firstColumn="1" w:firstRow="1" w:lastColumn="0" w:lastRow="0" w:noHBand="0" w:noVBand="1" w:val="04A0"/>
      </w:tblPr>
      <w:tblGrid>
        <w:gridCol w:w="9878"/>
      </w:tblGrid>
      <w:tr>
        <w:tc>
          <w:tcPr>
            <w:tcW w:type="dxa" w:w="9878"/>
            <w:shd w:fill="FFF4E5"/>
            <w:tcMar>
              <w:top w:w="120" w:type="dxa"/>
              <w:start w:w="140" w:type="dxa"/>
              <w:bottom w:w="120" w:type="dxa"/>
              <w:end w:w="140" w:type="dxa"/>
            </w:tcMar>
          </w:tcPr>
          <w:p>
            <w:pPr>
              <w:spacing w:after="0"/>
            </w:pPr>
            <w:r>
              <w:rPr>
                <w:b/>
                <w:color w:val="8A4B00"/>
              </w:rPr>
              <w:t>MySQL 1615 history</w:t>
              <w:br/>
            </w:r>
            <w:r>
              <w:t>A prior evidence-lifecycle archive update triggered “Prepared statement needs to be re-prepared” under native MySQL prepared statements after metadata changes. The affected archive operation uses a safe direct integer SQL execution. If this error returns, check that the patched evaluator is deployed before changing database settings.</w:t>
            </w:r>
          </w:p>
        </w:tc>
      </w:tr>
    </w:tbl>
    <w:p>
      <w:pPr>
        <w:spacing w:after="20"/>
      </w:pPr>
    </w:p>
    <w:p>
      <w:pPr>
        <w:pStyle w:val="Heading1"/>
        <w:keepNext/>
      </w:pPr>
      <w:r>
        <w:t>9. Credential rotation</w:t>
      </w:r>
    </w:p>
    <w:p>
      <w:pPr>
        <w:pStyle w:val="ListNumber"/>
        <w:spacing w:after="40"/>
      </w:pPr>
      <w:r>
        <w:t>Create the replacement secret/password in the provider using the provider’s normal change process.</w:t>
      </w:r>
    </w:p>
    <w:p>
      <w:pPr>
        <w:pStyle w:val="ListNumber"/>
        <w:spacing w:after="40"/>
      </w:pPr>
      <w:r>
        <w:t>Update the PurpleWASP connection without exposing the secret in logs or support channels.</w:t>
      </w:r>
    </w:p>
    <w:p>
      <w:pPr>
        <w:pStyle w:val="ListNumber"/>
        <w:spacing w:after="40"/>
      </w:pPr>
      <w:r>
        <w:t>Run Test Connection immediately.</w:t>
      </w:r>
    </w:p>
    <w:p>
      <w:pPr>
        <w:pStyle w:val="ListNumber"/>
        <w:spacing w:after="40"/>
      </w:pPr>
      <w:r>
        <w:t>Run one manual sync and confirm a successful/expected partial run.</w:t>
      </w:r>
    </w:p>
    <w:p>
      <w:pPr>
        <w:pStyle w:val="ListNumber"/>
        <w:spacing w:after="40"/>
      </w:pPr>
      <w:r>
        <w:t>Only then revoke the old provider credential where the provider supports overlap.</w:t>
      </w:r>
    </w:p>
    <w:p>
      <w:pPr>
        <w:pStyle w:val="ListNumber"/>
        <w:spacing w:after="40"/>
      </w:pPr>
      <w:r>
        <w:t>Record the next expiry/rotation owner.</w:t>
      </w:r>
    </w:p>
    <w:p>
      <w:pPr>
        <w:pStyle w:val="Heading1"/>
        <w:keepNext/>
      </w:pPr>
      <w:r>
        <w:t>10. UTC/time troubleshooting</w:t>
      </w:r>
    </w:p>
    <w:p>
      <w:pPr>
        <w:pStyle w:val="ListBullet"/>
        <w:spacing w:after="40"/>
      </w:pPr>
      <w:r>
        <w:t>Integration Management database sessions must be UTC (+00:00).</w:t>
      </w:r>
    </w:p>
    <w:p>
      <w:pPr>
        <w:pStyle w:val="ListBullet"/>
        <w:spacing w:after="40"/>
      </w:pPr>
      <w:r>
        <w:t>Do not infer a scheduler delay from local BST/UTC display until checking available_at against the session time basis.</w:t>
      </w:r>
    </w:p>
    <w:p>
      <w:pPr>
        <w:pStyle w:val="ListBullet"/>
        <w:spacing w:after="40"/>
      </w:pPr>
      <w:r>
        <w:t>Browser integration UI treats DB integration timestamps as UTC and localises them.</w:t>
      </w:r>
    </w:p>
    <w:p>
      <w:pPr>
        <w:pStyle w:val="ListBullet"/>
        <w:spacing w:after="40"/>
      </w:pPr>
      <w:r>
        <w:t>If finish/update times differ by exactly one hour on a BST host, check for a code path still using session-local CURRENT_TIMESTAMP without the UTC session fix.</w:t>
      </w:r>
    </w:p>
    <w:p>
      <w:pPr>
        <w:pStyle w:val="Heading1"/>
        <w:keepNext/>
      </w:pPr>
      <w:r>
        <w:t>11. Safe restart, rollback and cutover checks</w:t>
      </w:r>
    </w:p>
    <w:p>
      <w:pPr>
        <w:spacing w:after="100"/>
      </w:pPr>
      <w:r>
        <w:t>Restarting the worker is safe when no unsafe external operation is mid-flight; check running jobs first. The scheduler can normally be stopped/restarted independently because it only queues work.</w:t>
      </w:r>
    </w:p>
    <w:p>
      <w:pPr>
        <w:pStyle w:val="ListBullet"/>
        <w:spacing w:after="40"/>
      </w:pPr>
      <w:r>
        <w:t>Before a runtime path cutover, stop the scheduler/timer so it does not queue during edits.</w:t>
      </w:r>
    </w:p>
    <w:p>
      <w:pPr>
        <w:pStyle w:val="ListBullet"/>
        <w:spacing w:after="40"/>
      </w:pPr>
      <w:r>
        <w:t>Back up service/task definitions, not provider secrets.</w:t>
      </w:r>
    </w:p>
    <w:p>
      <w:pPr>
        <w:pStyle w:val="ListBullet"/>
        <w:spacing w:after="40"/>
      </w:pPr>
      <w:r>
        <w:t>Deploy canonical files and lint PHP before changing service definitions.</w:t>
      </w:r>
    </w:p>
    <w:p>
      <w:pPr>
        <w:pStyle w:val="ListBullet"/>
        <w:spacing w:after="40"/>
      </w:pPr>
      <w:r>
        <w:t>daemon-reload after systemd unit changes; restart the worker; manually run the scheduler once; then re-enable/start the timer.</w:t>
      </w:r>
    </w:p>
    <w:p>
      <w:pPr>
        <w:pStyle w:val="ListBullet"/>
        <w:spacing w:after="40"/>
      </w:pPr>
      <w:r>
        <w:t>Run a cross-tree reference scan before deleting legacy runtime files.</w:t>
      </w:r>
    </w:p>
    <w:p>
      <w:pPr>
        <w:pStyle w:val="ListBullet"/>
        <w:spacing w:after="40"/>
      </w:pPr>
      <w:r>
        <w:t>Keep domain-specific Asset vulnerability code even when deleting legacy integration control-plane files.</w:t>
      </w:r>
    </w:p>
    <w:p>
      <w:pPr>
        <w:pStyle w:val="Heading1"/>
        <w:keepNext/>
      </w:pPr>
      <w:r>
        <w:t>12. Escalation evidence</w:t>
      </w:r>
    </w:p>
    <w:p>
      <w:pPr>
        <w:pStyle w:val="ListBullet"/>
        <w:spacing w:after="40"/>
      </w:pPr>
      <w:r>
        <w:t>Organisation/tenant prefix and integration ID (not secret values).</w:t>
      </w:r>
    </w:p>
    <w:p>
      <w:pPr>
        <w:pStyle w:val="ListBullet"/>
        <w:spacing w:after="40"/>
      </w:pPr>
      <w:r>
        <w:t>Provider and capability key.</w:t>
      </w:r>
    </w:p>
    <w:p>
      <w:pPr>
        <w:pStyle w:val="ListBullet"/>
        <w:spacing w:after="40"/>
      </w:pPr>
      <w:r>
        <w:t>Job ID and run ID.</w:t>
      </w:r>
    </w:p>
    <w:p>
      <w:pPr>
        <w:pStyle w:val="ListBullet"/>
        <w:spacing w:after="40"/>
      </w:pPr>
      <w:r>
        <w:t>UTC timestamp and service host.</w:t>
      </w:r>
    </w:p>
    <w:p>
      <w:pPr>
        <w:pStyle w:val="ListBullet"/>
        <w:spacing w:after="40"/>
      </w:pPr>
      <w:r>
        <w:t>Friendly UI message and protected log reference/correlation value.</w:t>
      </w:r>
    </w:p>
    <w:p>
      <w:pPr>
        <w:pStyle w:val="ListBullet"/>
        <w:spacing w:after="40"/>
      </w:pPr>
      <w:r>
        <w:t>Worker/scheduler service status and canonical command path.</w:t>
      </w:r>
    </w:p>
    <w:p>
      <w:pPr>
        <w:pStyle w:val="ListBullet"/>
        <w:spacing w:after="40"/>
      </w:pPr>
      <w:r>
        <w:t>Relevant run metrics/collection-status observations.</w:t>
      </w:r>
    </w:p>
    <w:p>
      <w:pPr>
        <w:pStyle w:val="ListBullet"/>
        <w:spacing w:after="40"/>
      </w:pPr>
      <w:r>
        <w:t>For Control automation: rule key, org_control_id, test_run_id and evidence_id where available.</w:t>
      </w:r>
    </w:p>
    <w:p>
      <w:pPr>
        <w:pStyle w:val="ListBullet"/>
        <w:spacing w:after="40"/>
      </w:pPr>
      <w:r>
        <w:t>Never attach client secrets, passwords, decrypted credentials or platform master keys.</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Integration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PurpleWASP</dc:creator>
  <cp:keywords/>
  <dc:description>PurpleWASP Integration Management documentation baseline 3 October 2026.</dc:description>
  <cp:lastModifiedBy/>
  <cp:revision>1</cp:revision>
  <dcterms:created xsi:type="dcterms:W3CDTF">2013-12-23T23:15:00Z</dcterms:created>
  <dcterms:modified xsi:type="dcterms:W3CDTF">2013-12-23T23:15:00Z</dcterms:modified>
  <cp:category/>
</cp:coreProperties>
</file>