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rial" w:hAnsi="Arial"/>
          <w:b/>
          <w:color w:val="4B0983"/>
          <w:sz w:val="24"/>
        </w:rPr>
        <w:t>PURPLEWASP</w:t>
      </w:r>
    </w:p>
    <w:p>
      <w:pPr>
        <w:pStyle w:val="Title"/>
        <w:spacing w:after="100"/>
      </w:pPr>
      <w:r>
        <w:t>Integration Management First-Time Implementation Handbook</w:t>
      </w:r>
    </w:p>
    <w:p>
      <w:pPr>
        <w:spacing w:after="280"/>
      </w:pPr>
      <w:r>
        <w:t>A practical rollout guide for deploying the Microsoft multi-capability integration and Qualys in PurpleWASP</w:t>
      </w:r>
    </w:p>
    <w:tbl>
      <w:tblPr>
        <w:tblW w:type="auto" w:w="0"/>
        <w:jc w:val="center"/>
        <w:tblLayout w:type="autofit"/>
        <w:tblLook w:firstColumn="1" w:firstRow="1" w:lastColumn="0" w:lastRow="0" w:noHBand="0" w:noVBand="1" w:val="04A0"/>
      </w:tblPr>
      <w:tblGrid>
        <w:gridCol w:w="4939"/>
        <w:gridCol w:w="4939"/>
      </w:tblGrid>
      <w:tr>
        <w:tc>
          <w:tcPr>
            <w:tcW w:type="dxa" w:w="4939"/>
            <w:shd w:fill="F2EAF8"/>
            <w:tcMar>
              <w:top w:w="90" w:type="dxa"/>
              <w:start w:w="100" w:type="dxa"/>
              <w:bottom w:w="90" w:type="dxa"/>
              <w:end w:w="100" w:type="dxa"/>
            </w:tcMar>
            <w:vAlign w:val="center"/>
          </w:tcPr>
          <w:p>
            <w:pPr>
              <w:spacing w:after="0"/>
            </w:pPr>
            <w:r>
              <w:rPr>
                <w:b/>
                <w:color w:val="2E203C"/>
              </w:rPr>
              <w:t>Audience</w:t>
            </w:r>
          </w:p>
        </w:tc>
        <w:tc>
          <w:tcPr>
            <w:tcW w:type="dxa" w:w="4939"/>
            <w:tcMar>
              <w:top w:w="90" w:type="dxa"/>
              <w:start w:w="100" w:type="dxa"/>
              <w:bottom w:w="90" w:type="dxa"/>
              <w:end w:w="100" w:type="dxa"/>
            </w:tcMar>
            <w:vAlign w:val="center"/>
          </w:tcPr>
          <w:p>
            <w:pPr>
              <w:spacing w:after="0"/>
            </w:pPr>
            <w:r>
              <w:t>PurpleWASP administrators, implementation partners, security teams, Control owners and platform operators</w:t>
            </w:r>
          </w:p>
        </w:tc>
      </w:tr>
      <w:tr>
        <w:tc>
          <w:tcPr>
            <w:tcW w:type="dxa" w:w="4939"/>
            <w:shd w:fill="F2EAF8"/>
            <w:tcMar>
              <w:top w:w="90" w:type="dxa"/>
              <w:start w:w="100" w:type="dxa"/>
              <w:bottom w:w="90" w:type="dxa"/>
              <w:end w:w="100" w:type="dxa"/>
            </w:tcMar>
            <w:vAlign w:val="center"/>
          </w:tcPr>
          <w:p>
            <w:pPr>
              <w:spacing w:after="0"/>
            </w:pPr>
            <w:r>
              <w:rPr>
                <w:b/>
                <w:color w:val="2E203C"/>
              </w:rPr>
              <w:t>Baseline date</w:t>
            </w:r>
          </w:p>
        </w:tc>
        <w:tc>
          <w:tcPr>
            <w:tcW w:type="dxa" w:w="4939"/>
            <w:tcMar>
              <w:top w:w="90" w:type="dxa"/>
              <w:start w:w="100" w:type="dxa"/>
              <w:bottom w:w="90" w:type="dxa"/>
              <w:end w:w="100" w:type="dxa"/>
            </w:tcMar>
            <w:vAlign w:val="center"/>
          </w:tcPr>
          <w:p>
            <w:r>
              <w:t>4 October 2026</w:t>
            </w:r>
          </w:p>
        </w:tc>
      </w:tr>
      <w:tr>
        <w:tc>
          <w:tcPr>
            <w:tcW w:type="dxa" w:w="4939"/>
            <w:shd w:fill="F2EAF8"/>
            <w:tcMar>
              <w:top w:w="90" w:type="dxa"/>
              <w:start w:w="100" w:type="dxa"/>
              <w:bottom w:w="90" w:type="dxa"/>
              <w:end w:w="100" w:type="dxa"/>
            </w:tcMar>
            <w:vAlign w:val="center"/>
          </w:tcPr>
          <w:p>
            <w:pPr>
              <w:spacing w:after="0"/>
            </w:pPr>
            <w:r>
              <w:rPr>
                <w:b/>
                <w:color w:val="2E203C"/>
              </w:rPr>
              <w:t>Status</w:t>
            </w:r>
          </w:p>
        </w:tc>
        <w:tc>
          <w:tcPr>
            <w:tcW w:type="dxa" w:w="4939"/>
            <w:tcMar>
              <w:top w:w="90" w:type="dxa"/>
              <w:start w:w="100" w:type="dxa"/>
              <w:bottom w:w="90" w:type="dxa"/>
              <w:end w:w="100" w:type="dxa"/>
            </w:tcMar>
            <w:vAlign w:val="center"/>
          </w:tcPr>
          <w:p>
            <w:pPr>
              <w:spacing w:after="0"/>
            </w:pPr>
            <w:r>
              <w:t>Current documentation baseline</w:t>
            </w:r>
          </w:p>
        </w:tc>
      </w:tr>
      <w:tr>
        <w:tc>
          <w:tcPr>
            <w:tcW w:type="dxa" w:w="4939"/>
            <w:shd w:fill="F2EAF8"/>
            <w:tcMar>
              <w:top w:w="90" w:type="dxa"/>
              <w:start w:w="100" w:type="dxa"/>
              <w:bottom w:w="90" w:type="dxa"/>
              <w:end w:w="100" w:type="dxa"/>
            </w:tcMar>
            <w:vAlign w:val="center"/>
          </w:tcPr>
          <w:p>
            <w:pPr>
              <w:spacing w:after="0"/>
            </w:pPr>
            <w:r>
              <w:rPr>
                <w:b/>
                <w:color w:val="2E203C"/>
              </w:rPr>
              <w:t>Product scope</w:t>
            </w:r>
          </w:p>
        </w:tc>
        <w:tc>
          <w:tcPr>
            <w:tcW w:type="dxa" w:w="4939"/>
            <w:tcMar>
              <w:top w:w="90" w:type="dxa"/>
              <w:start w:w="100" w:type="dxa"/>
              <w:bottom w:w="90" w:type="dxa"/>
              <w:end w:w="100" w:type="dxa"/>
            </w:tcMar>
            <w:vAlign w:val="center"/>
          </w:tcPr>
          <w:p>
            <w:r>
              <w:t>Integration Management, Microsoft multi-capability integration, Qualys vulnerability integration, Control Management evidence automation and Asset Management hand-off</w:t>
            </w:r>
          </w:p>
        </w:tc>
      </w:tr>
    </w:tbl>
    <w:p/>
    <w:p>
      <w:pPr>
        <w:pStyle w:val="PWSmall"/>
        <w:spacing w:after="240"/>
      </w:pPr>
      <w:r>
        <w:t>This document describes the PurpleWASP implementation baseline completed on 4 October 2026. Microsoft now uses one shared tenant connection with independently enabled Entra ID, Microsoft 365 Security, Intune, Defender for Endpoint and Azure capabilities. Provider APIs, permissions and licensing can change; validate vendor-specific prerequisites before each new deployment or capability expansion.</w:t>
      </w:r>
    </w:p>
    <w:p>
      <w:pPr>
        <w:pStyle w:val="Heading1"/>
        <w:keepNext/>
      </w:pPr>
      <w:r>
        <w:t>Document map</w:t>
      </w:r>
    </w:p>
    <w:p>
      <w:pPr>
        <w:spacing w:after="20"/>
      </w:pPr>
      <w:r>
        <w:t>1. What Integration Management does</w:t>
      </w:r>
    </w:p>
    <w:p>
      <w:pPr>
        <w:spacing w:after="20"/>
      </w:pPr>
      <w:r>
        <w:t>2. Architecture and responsibility boundaries</w:t>
      </w:r>
    </w:p>
    <w:p>
      <w:pPr>
        <w:spacing w:after="20"/>
      </w:pPr>
      <w:r>
        <w:t>3. Plan the first deployment</w:t>
      </w:r>
    </w:p>
    <w:p>
      <w:pPr>
        <w:spacing w:after="20"/>
      </w:pPr>
      <w:r>
        <w:t>4. Prepare databases, secrets and runtime prerequisites</w:t>
      </w:r>
    </w:p>
    <w:p>
      <w:pPr>
        <w:spacing w:after="20"/>
      </w:pPr>
      <w:r>
        <w:t>5. Configure Microsoft</w:t>
      </w:r>
    </w:p>
    <w:p>
      <w:pPr>
        <w:spacing w:after="20"/>
      </w:pPr>
      <w:r>
        <w:t>6. Configure Qualys</w:t>
      </w:r>
    </w:p>
    <w:p>
      <w:pPr>
        <w:spacing w:after="20"/>
      </w:pPr>
      <w:r>
        <w:t>7. Activate worker and scheduler services</w:t>
      </w:r>
    </w:p>
    <w:p>
      <w:pPr>
        <w:spacing w:after="20"/>
      </w:pPr>
      <w:r>
        <w:t>8. Understand jobs, runs, observations and evidence</w:t>
      </w:r>
    </w:p>
    <w:p>
      <w:pPr>
        <w:spacing w:after="20"/>
      </w:pPr>
      <w:r>
        <w:t>9. Validate the end-to-end implementation</w:t>
      </w:r>
    </w:p>
    <w:p>
      <w:pPr>
        <w:spacing w:after="20"/>
      </w:pPr>
      <w:r>
        <w:t>10. Operate the first production cycle</w:t>
      </w:r>
    </w:p>
    <w:p>
      <w:pPr>
        <w:spacing w:after="20"/>
      </w:pPr>
      <w:r>
        <w:t>11. Security and change-control practices</w:t>
      </w:r>
    </w:p>
    <w:p>
      <w:pPr>
        <w:spacing w:after="20"/>
      </w:pPr>
      <w:r>
        <w:t>12. Common first-time mistakes</w:t>
      </w:r>
    </w:p>
    <w:p>
      <w:pPr>
        <w:spacing w:after="20"/>
      </w:pPr>
      <w:r>
        <w:t>13. First implementation checklist</w:t>
      </w:r>
    </w:p>
    <w:p>
      <w:pPr>
        <w:spacing w:after="20"/>
      </w:pPr>
      <w:r>
        <w:t>14. Current scope and expansion roadmap</w:t>
      </w:r>
    </w:p>
    <w:p/>
    <w:p>
      <w:pPr>
        <w:pStyle w:val="Heading1"/>
        <w:keepNext/>
      </w:pPr>
      <w:r>
        <w:t>1. What Integration Management does</w:t>
      </w:r>
    </w:p>
    <w:p>
      <w:pPr>
        <w:spacing w:after="100"/>
      </w:pPr>
      <w:r>
        <w:t>Integration Management is the shared PurpleWASP control plane for external provider connections. It owns provider connections, encrypted credentials, capabilities, jobs, runs, sync state and normalized observations. Other modules consume those results rather than owning provider credentials or scheduling logic themselves.</w:t>
      </w:r>
    </w:p>
    <w:tbl>
      <w:tblPr>
        <w:tblW w:type="auto" w:w="0"/>
        <w:jc w:val="center"/>
        <w:tblLook w:firstColumn="1" w:firstRow="1" w:lastColumn="0" w:lastRow="0" w:noHBand="0" w:noVBand="1" w:val="04A0"/>
      </w:tblPr>
      <w:tblGrid>
        <w:gridCol w:w="9878"/>
      </w:tblGrid>
      <w:tr>
        <w:tc>
          <w:tcPr>
            <w:tcW w:type="dxa" w:w="9878"/>
            <w:shd w:fill="F2EAF8"/>
            <w:tcMar>
              <w:top w:w="120" w:type="dxa"/>
              <w:start w:w="140" w:type="dxa"/>
              <w:bottom w:w="120" w:type="dxa"/>
              <w:end w:w="140" w:type="dxa"/>
            </w:tcMar>
          </w:tcPr>
          <w:p>
            <w:pPr>
              <w:spacing w:after="0"/>
            </w:pPr>
            <w:r>
              <w:rPr>
                <w:b/>
                <w:color w:val="4B0983"/>
              </w:rPr>
              <w:t>Core principle</w:t>
              <w:br/>
            </w:r>
            <w:r>
              <w:t>Collect once, evaluate many. Evidence is collected against canonical organisation Controls and can support every framework mapped to those Controls. PurpleWASP does not collect the same evidence independently for ISO 27001, SOC 2, NIST CSF or other frameworks.</w:t>
            </w:r>
          </w:p>
        </w:tc>
      </w:tr>
    </w:tbl>
    <w:p>
      <w:pPr>
        <w:spacing w:after="20"/>
      </w:pPr>
    </w:p>
    <w:tbl>
      <w:tblPr>
        <w:tblStyle w:val="TableGrid"/>
        <w:tblW w:type="auto" w:w="0"/>
        <w:jc w:val="center"/>
        <w:tblLook w:firstColumn="1" w:firstRow="1" w:lastColumn="0" w:lastRow="0" w:noHBand="0" w:noVBand="1" w:val="04A0"/>
      </w:tblPr>
      <w:tblGrid>
        <w:gridCol w:w="4939"/>
        <w:gridCol w:w="4939"/>
      </w:tblGrid>
      <w:tr>
        <w:trPr>
          <w:tblHeader w:val="true"/>
        </w:trPr>
        <w:tc>
          <w:tcPr>
            <w:tcW w:type="dxa" w:w="4939"/>
            <w:shd w:fill="4B0983"/>
            <w:tcMar>
              <w:top w:w="90" w:type="dxa"/>
              <w:start w:w="100" w:type="dxa"/>
              <w:bottom w:w="90" w:type="dxa"/>
              <w:end w:w="100" w:type="dxa"/>
            </w:tcMar>
            <w:vAlign w:val="center"/>
          </w:tcPr>
          <w:p>
            <w:r>
              <w:rPr>
                <w:b/>
                <w:color w:val="FFFFFF"/>
              </w:rPr>
              <w:t>Area</w:t>
            </w:r>
          </w:p>
        </w:tc>
        <w:tc>
          <w:tcPr>
            <w:tcW w:type="dxa" w:w="4939"/>
            <w:shd w:fill="4B0983"/>
            <w:tcMar>
              <w:top w:w="90" w:type="dxa"/>
              <w:start w:w="100" w:type="dxa"/>
              <w:bottom w:w="90" w:type="dxa"/>
              <w:end w:w="100" w:type="dxa"/>
            </w:tcMar>
            <w:vAlign w:val="center"/>
          </w:tcPr>
          <w:p>
            <w:r>
              <w:rPr>
                <w:b/>
                <w:color w:val="FFFFFF"/>
              </w:rPr>
              <w:t>Responsibility</w:t>
            </w:r>
          </w:p>
        </w:tc>
      </w:tr>
      <w:tr>
        <w:trPr>
          <w:cantSplit/>
        </w:trPr>
        <w:tc>
          <w:tcPr>
            <w:tcW w:type="dxa" w:w="4939"/>
            <w:tcMar>
              <w:top w:w="90" w:type="dxa"/>
              <w:start w:w="100" w:type="dxa"/>
              <w:bottom w:w="90" w:type="dxa"/>
              <w:end w:w="100" w:type="dxa"/>
            </w:tcMar>
            <w:vAlign w:val="top"/>
          </w:tcPr>
          <w:p>
            <w:pPr>
              <w:spacing w:after="0"/>
            </w:pPr>
            <w:r>
              <w:t>Admin → Integrations</w:t>
            </w:r>
          </w:p>
        </w:tc>
        <w:tc>
          <w:tcPr>
            <w:tcW w:type="dxa" w:w="4939"/>
            <w:tcMar>
              <w:top w:w="90" w:type="dxa"/>
              <w:start w:w="100" w:type="dxa"/>
              <w:bottom w:w="90" w:type="dxa"/>
              <w:end w:w="100" w:type="dxa"/>
            </w:tcMar>
            <w:vAlign w:val="top"/>
          </w:tcPr>
          <w:p>
            <w:pPr>
              <w:spacing w:after="0"/>
            </w:pPr>
            <w:r>
              <w:t>Configure, test, activate/deactivate and inspect provider connections.</w:t>
            </w:r>
          </w:p>
        </w:tc>
      </w:tr>
      <w:tr>
        <w:trPr>
          <w:cantSplit/>
        </w:trPr>
        <w:tc>
          <w:tcPr>
            <w:tcW w:type="dxa" w:w="4939"/>
            <w:tcMar>
              <w:top w:w="90" w:type="dxa"/>
              <w:start w:w="100" w:type="dxa"/>
              <w:bottom w:w="90" w:type="dxa"/>
              <w:end w:w="100" w:type="dxa"/>
            </w:tcMar>
            <w:vAlign w:val="top"/>
          </w:tcPr>
          <w:p>
            <w:pPr>
              <w:spacing w:after="0"/>
            </w:pPr>
            <w:r>
              <w:t>Integration Management</w:t>
            </w:r>
          </w:p>
        </w:tc>
        <w:tc>
          <w:tcPr>
            <w:tcW w:type="dxa" w:w="4939"/>
            <w:tcMar>
              <w:top w:w="90" w:type="dxa"/>
              <w:start w:w="100" w:type="dxa"/>
              <w:bottom w:w="90" w:type="dxa"/>
              <w:end w:w="100" w:type="dxa"/>
            </w:tcMar>
            <w:vAlign w:val="top"/>
          </w:tcPr>
          <w:p>
            <w:pPr>
              <w:spacing w:after="0"/>
            </w:pPr>
            <w:r>
              <w:t>Own connections, encrypted credentials, capabilities, scheduling, runs, observations and provider runtime.</w:t>
            </w:r>
          </w:p>
        </w:tc>
      </w:tr>
      <w:tr>
        <w:trPr>
          <w:cantSplit/>
        </w:trPr>
        <w:tc>
          <w:tcPr>
            <w:tcW w:type="dxa" w:w="4939"/>
            <w:tcMar>
              <w:top w:w="90" w:type="dxa"/>
              <w:start w:w="100" w:type="dxa"/>
              <w:bottom w:w="90" w:type="dxa"/>
              <w:end w:w="100" w:type="dxa"/>
            </w:tcMar>
            <w:vAlign w:val="top"/>
          </w:tcPr>
          <w:p>
            <w:pPr>
              <w:spacing w:after="0"/>
            </w:pPr>
            <w:r>
              <w:t>Asset Management</w:t>
            </w:r>
          </w:p>
        </w:tc>
        <w:tc>
          <w:tcPr>
            <w:tcW w:type="dxa" w:w="4939"/>
            <w:tcMar>
              <w:top w:w="90" w:type="dxa"/>
              <w:start w:w="100" w:type="dxa"/>
              <w:bottom w:w="90" w:type="dxa"/>
              <w:end w:w="100" w:type="dxa"/>
            </w:tcMar>
            <w:vAlign w:val="top"/>
          </w:tcPr>
          <w:p>
            <w:pPr>
              <w:spacing w:after="0"/>
            </w:pPr>
            <w:r>
              <w:t>Consume Asset/vulnerability domain data produced by relevant integrations.</w:t>
            </w:r>
          </w:p>
        </w:tc>
      </w:tr>
      <w:tr>
        <w:trPr>
          <w:cantSplit/>
        </w:trPr>
        <w:tc>
          <w:tcPr>
            <w:tcW w:type="dxa" w:w="4939"/>
            <w:tcMar>
              <w:top w:w="90" w:type="dxa"/>
              <w:start w:w="100" w:type="dxa"/>
              <w:bottom w:w="90" w:type="dxa"/>
              <w:end w:w="100" w:type="dxa"/>
            </w:tcMar>
            <w:vAlign w:val="top"/>
          </w:tcPr>
          <w:p>
            <w:pPr>
              <w:spacing w:after="0"/>
            </w:pPr>
            <w:r>
              <w:t>Control Management</w:t>
            </w:r>
          </w:p>
        </w:tc>
        <w:tc>
          <w:tcPr>
            <w:tcW w:type="dxa" w:w="4939"/>
            <w:tcMar>
              <w:top w:w="90" w:type="dxa"/>
              <w:start w:w="100" w:type="dxa"/>
              <w:bottom w:w="90" w:type="dxa"/>
              <w:end w:w="100" w:type="dxa"/>
            </w:tcMar>
            <w:vAlign w:val="top"/>
          </w:tcPr>
          <w:p>
            <w:pPr>
              <w:spacing w:after="0"/>
            </w:pPr>
            <w:r>
              <w:t>Consume observations as automated test results and evidence against adopted organisation Controls.</w:t>
            </w:r>
          </w:p>
        </w:tc>
      </w:tr>
      <w:tr>
        <w:trPr>
          <w:cantSplit/>
        </w:trPr>
        <w:tc>
          <w:tcPr>
            <w:tcW w:type="dxa" w:w="4939"/>
            <w:tcMar>
              <w:top w:w="90" w:type="dxa"/>
              <w:start w:w="100" w:type="dxa"/>
              <w:bottom w:w="90" w:type="dxa"/>
              <w:end w:w="100" w:type="dxa"/>
            </w:tcMar>
            <w:vAlign w:val="top"/>
          </w:tcPr>
          <w:p>
            <w:pPr>
              <w:spacing w:after="0"/>
            </w:pPr>
            <w:r>
              <w:t>Framework modules</w:t>
            </w:r>
          </w:p>
        </w:tc>
        <w:tc>
          <w:tcPr>
            <w:tcW w:type="dxa" w:w="4939"/>
            <w:tcMar>
              <w:top w:w="90" w:type="dxa"/>
              <w:start w:w="100" w:type="dxa"/>
              <w:bottom w:w="90" w:type="dxa"/>
              <w:end w:w="100" w:type="dxa"/>
            </w:tcMar>
            <w:vAlign w:val="top"/>
          </w:tcPr>
          <w:p>
            <w:pPr>
              <w:spacing w:after="0"/>
            </w:pPr>
            <w:r>
              <w:t>Reuse Control assurance through Control-to-framework mappings; do not own provider collection.</w:t>
            </w:r>
          </w:p>
        </w:tc>
      </w:tr>
    </w:tbl>
    <w:p>
      <w:pPr>
        <w:spacing w:after="20"/>
      </w:pPr>
    </w:p>
    <w:p>
      <w:pPr>
        <w:pStyle w:val="Heading1"/>
        <w:keepNext/>
      </w:pPr>
      <w:r>
        <w:t>2. Architecture and responsibility boundaries</w:t>
      </w:r>
    </w:p>
    <w:tbl>
      <w:tblPr>
        <w:tblW w:type="auto" w:w="0"/>
        <w:tblLook w:firstColumn="1" w:firstRow="1" w:lastColumn="0" w:lastRow="0" w:noHBand="0" w:noVBand="1" w:val="04A0"/>
      </w:tblPr>
      <w:tblGrid>
        <w:gridCol w:w="9878"/>
      </w:tblGrid>
      <w:tr>
        <w:tc>
          <w:tcPr>
            <w:tcW w:type="dxa" w:w="9878"/>
            <w:shd w:fill="F6F6F8"/>
            <w:tcMar>
              <w:top w:w="80" w:type="dxa"/>
              <w:start w:w="120" w:type="dxa"/>
              <w:bottom w:w="80" w:type="dxa"/>
              <w:end w:w="120" w:type="dxa"/>
            </w:tcMar>
          </w:tcPr>
          <w:p>
            <w:pPr>
              <w:spacing w:after="0"/>
            </w:pPr>
            <w:r>
              <w:rPr>
                <w:rFonts w:ascii="Courier New" w:hAnsi="Courier New"/>
                <w:sz w:val="17"/>
              </w:rPr>
              <w:t>Admin → Integrations</w:t>
              <w:br/>
              <w:t xml:space="preserve">        ↓</w:t>
              <w:br/>
              <w:t>WEB_ROOT/integration_management/</w:t>
              <w:br/>
              <w:t xml:space="preserve">        ↓</w:t>
              <w:br/>
              <w:t>OUTSIDE_ROOT/assets/integration_management/</w:t>
              <w:br/>
              <w:t xml:space="preserve">        ↓</w:t>
              <w:br/>
              <w:t>&lt;tenant&gt;_integration_management</w:t>
              <w:br/>
              <w:t xml:space="preserve">        ↓ consumers</w:t>
              <w:br/>
              <w:t>Asset Management | Control Management | Risk/Compliance consumers</w:t>
            </w:r>
          </w:p>
        </w:tc>
      </w:tr>
    </w:tbl>
    <w:p>
      <w:pPr>
        <w:spacing w:after="20"/>
      </w:pPr>
    </w:p>
    <w:p>
      <w:pPr>
        <w:spacing w:after="100"/>
      </w:pPr>
      <w:r>
        <w:t>There is no separate Integration Management application menu. Admin → Integrations is the supported configuration surface; the integration_management web folder is an internal HTTP/API boundary.</w:t>
      </w:r>
    </w:p>
    <w:p>
      <w:pPr>
        <w:pStyle w:val="ListBullet"/>
        <w:spacing w:after="40"/>
      </w:pPr>
      <w:r>
        <w:t>Microsoft provider: one provider/tenant connection. Entra ID, Microsoft 365 Security, Intune, Defender for Endpoint and Azure are independently enabled capabilities beneath the same Microsoft provider.</w:t>
      </w:r>
    </w:p>
    <w:p>
      <w:pPr>
        <w:pStyle w:val="ListBullet"/>
        <w:spacing w:after="40"/>
      </w:pPr>
      <w:r>
        <w:rPr>
          <w:b/>
        </w:rPr>
        <w:t xml:space="preserve">Qualys provider: </w:t>
      </w:r>
      <w:r>
        <w:t>connection and execution live in Integration Management; vulnerability findings remain Asset Management domain data.</w:t>
      </w:r>
    </w:p>
    <w:p>
      <w:pPr>
        <w:pStyle w:val="ListBullet"/>
        <w:spacing w:after="40"/>
      </w:pPr>
      <w:r>
        <w:rPr>
          <w:b/>
        </w:rPr>
        <w:t xml:space="preserve">Manual evidence: </w:t>
      </w:r>
      <w:r>
        <w:t>remains supported. Integrations add automated evidence and are not mandatory for every organisation.</w:t>
      </w:r>
    </w:p>
    <w:p>
      <w:pPr>
        <w:pStyle w:val="Heading1"/>
        <w:keepNext/>
      </w:pPr>
      <w:r>
        <w:t>3. Plan the first deployment</w:t>
      </w:r>
    </w:p>
    <w:p>
      <w:pPr>
        <w:spacing w:after="100"/>
      </w:pPr>
      <w:r>
        <w:t>Treat the integration rollout as a controlled platform change. Decide which tenant(s) will be enabled, who owns provider credentials, which capabilities are licensed, how services will be run, and which Controls are already adopted before enabling automated evidence.</w:t>
      </w:r>
    </w:p>
    <w:tbl>
      <w:tblPr>
        <w:tblStyle w:val="TableGrid"/>
        <w:tblW w:type="auto" w:w="0"/>
        <w:jc w:val="center"/>
        <w:tblLook w:firstColumn="1" w:firstRow="1" w:lastColumn="0" w:lastRow="0" w:noHBand="0" w:noVBand="1" w:val="04A0"/>
      </w:tblPr>
      <w:tblGrid>
        <w:gridCol w:w="4939"/>
        <w:gridCol w:w="4939"/>
      </w:tblGrid>
      <w:tr>
        <w:trPr>
          <w:tblHeader w:val="true"/>
        </w:trPr>
        <w:tc>
          <w:tcPr>
            <w:tcW w:type="dxa" w:w="4939"/>
            <w:shd w:fill="4B0983"/>
            <w:tcMar>
              <w:top w:w="90" w:type="dxa"/>
              <w:start w:w="100" w:type="dxa"/>
              <w:bottom w:w="90" w:type="dxa"/>
              <w:end w:w="100" w:type="dxa"/>
            </w:tcMar>
            <w:vAlign w:val="center"/>
          </w:tcPr>
          <w:p>
            <w:r>
              <w:rPr>
                <w:b/>
                <w:color w:val="FFFFFF"/>
              </w:rPr>
              <w:t>Decision</w:t>
            </w:r>
          </w:p>
        </w:tc>
        <w:tc>
          <w:tcPr>
            <w:tcW w:type="dxa" w:w="4939"/>
            <w:shd w:fill="4B0983"/>
            <w:tcMar>
              <w:top w:w="90" w:type="dxa"/>
              <w:start w:w="100" w:type="dxa"/>
              <w:bottom w:w="90" w:type="dxa"/>
              <w:end w:w="100" w:type="dxa"/>
            </w:tcMar>
            <w:vAlign w:val="center"/>
          </w:tcPr>
          <w:p>
            <w:r>
              <w:rPr>
                <w:b/>
                <w:color w:val="FFFFFF"/>
              </w:rPr>
              <w:t>Recommended first implementation</w:t>
            </w:r>
          </w:p>
        </w:tc>
      </w:tr>
      <w:tr>
        <w:trPr>
          <w:cantSplit/>
        </w:trPr>
        <w:tc>
          <w:tcPr>
            <w:tcW w:type="dxa" w:w="4939"/>
            <w:tcMar>
              <w:top w:w="90" w:type="dxa"/>
              <w:start w:w="100" w:type="dxa"/>
              <w:bottom w:w="90" w:type="dxa"/>
              <w:end w:w="100" w:type="dxa"/>
            </w:tcMar>
            <w:vAlign w:val="top"/>
          </w:tcPr>
          <w:p>
            <w:pPr>
              <w:spacing w:after="0"/>
            </w:pPr>
            <w:r>
              <w:t>Microsoft scope</w:t>
            </w:r>
          </w:p>
        </w:tc>
        <w:tc>
          <w:tcPr>
            <w:tcW w:type="dxa" w:w="4939"/>
            <w:tcMar>
              <w:top w:w="90" w:type="dxa"/>
              <w:start w:w="100" w:type="dxa"/>
              <w:bottom w:w="90" w:type="dxa"/>
              <w:end w:w="100" w:type="dxa"/>
            </w:tcMar>
            <w:vAlign w:val="top"/>
          </w:tcPr>
          <w:p>
            <w:r>
              <w:t>Configure one Microsoft tenant connection, then enable only the required capabilities. Entra ID, Microsoft 365 Security and Azure are accepted; Intune and Defender are implemented but require licensed-tenant validation.</w:t>
            </w:r>
          </w:p>
        </w:tc>
      </w:tr>
      <w:tr>
        <w:trPr>
          <w:cantSplit/>
        </w:trPr>
        <w:tc>
          <w:tcPr>
            <w:tcW w:type="dxa" w:w="4939"/>
            <w:tcMar>
              <w:top w:w="90" w:type="dxa"/>
              <w:start w:w="100" w:type="dxa"/>
              <w:bottom w:w="90" w:type="dxa"/>
              <w:end w:w="100" w:type="dxa"/>
            </w:tcMar>
            <w:vAlign w:val="top"/>
          </w:tcPr>
          <w:p>
            <w:pPr>
              <w:spacing w:after="0"/>
            </w:pPr>
            <w:r>
              <w:t>Qualys scope</w:t>
            </w:r>
          </w:p>
        </w:tc>
        <w:tc>
          <w:tcPr>
            <w:tcW w:type="dxa" w:w="4939"/>
            <w:tcMar>
              <w:top w:w="90" w:type="dxa"/>
              <w:start w:w="100" w:type="dxa"/>
              <w:bottom w:w="90" w:type="dxa"/>
              <w:end w:w="100" w:type="dxa"/>
            </w:tcMar>
            <w:vAlign w:val="top"/>
          </w:tcPr>
          <w:p>
            <w:pPr>
              <w:spacing w:after="0"/>
            </w:pPr>
            <w:r>
              <w:t>Enable qualys.vulnerability_findings where the organisation has an appropriate Qualys subscription and API access.</w:t>
            </w:r>
          </w:p>
        </w:tc>
      </w:tr>
      <w:tr>
        <w:trPr>
          <w:cantSplit/>
        </w:trPr>
        <w:tc>
          <w:tcPr>
            <w:tcW w:type="dxa" w:w="4939"/>
            <w:tcMar>
              <w:top w:w="90" w:type="dxa"/>
              <w:start w:w="100" w:type="dxa"/>
              <w:bottom w:w="90" w:type="dxa"/>
              <w:end w:w="100" w:type="dxa"/>
            </w:tcMar>
            <w:vAlign w:val="top"/>
          </w:tcPr>
          <w:p>
            <w:pPr>
              <w:spacing w:after="0"/>
            </w:pPr>
            <w:r>
              <w:t>Control automation</w:t>
            </w:r>
          </w:p>
        </w:tc>
        <w:tc>
          <w:tcPr>
            <w:tcW w:type="dxa" w:w="4939"/>
            <w:tcMar>
              <w:top w:w="90" w:type="dxa"/>
              <w:start w:w="100" w:type="dxa"/>
              <w:bottom w:w="90" w:type="dxa"/>
              <w:end w:w="100" w:type="dxa"/>
            </w:tcMar>
            <w:vAlign w:val="top"/>
          </w:tcPr>
          <w:p>
            <w:pPr>
              <w:spacing w:after="0"/>
            </w:pPr>
            <w:r>
              <w:t>Materialise evidence only for adopted, applicable, active organisation Controls.</w:t>
            </w:r>
          </w:p>
        </w:tc>
      </w:tr>
      <w:tr>
        <w:trPr>
          <w:cantSplit/>
        </w:trPr>
        <w:tc>
          <w:tcPr>
            <w:tcW w:type="dxa" w:w="4939"/>
            <w:tcMar>
              <w:top w:w="90" w:type="dxa"/>
              <w:start w:w="100" w:type="dxa"/>
              <w:bottom w:w="90" w:type="dxa"/>
              <w:end w:w="100" w:type="dxa"/>
            </w:tcMar>
            <w:vAlign w:val="top"/>
          </w:tcPr>
          <w:p>
            <w:pPr>
              <w:spacing w:after="0"/>
            </w:pPr>
            <w:r>
              <w:t>Runtime</w:t>
            </w:r>
          </w:p>
        </w:tc>
        <w:tc>
          <w:tcPr>
            <w:tcW w:type="dxa" w:w="4939"/>
            <w:tcMar>
              <w:top w:w="90" w:type="dxa"/>
              <w:start w:w="100" w:type="dxa"/>
              <w:bottom w:w="90" w:type="dxa"/>
              <w:end w:w="100" w:type="dxa"/>
            </w:tcMar>
            <w:vAlign w:val="top"/>
          </w:tcPr>
          <w:p>
            <w:pPr>
              <w:spacing w:after="0"/>
            </w:pPr>
            <w:r>
              <w:t>Use the canonical Integration Management worker and scheduler; do not deploy the retired Asset Management runtime.</w:t>
            </w:r>
          </w:p>
        </w:tc>
      </w:tr>
      <w:tr>
        <w:trPr>
          <w:cantSplit/>
        </w:trPr>
        <w:tc>
          <w:tcPr>
            <w:tcW w:type="dxa" w:w="4939"/>
            <w:tcMar>
              <w:top w:w="90" w:type="dxa"/>
              <w:start w:w="100" w:type="dxa"/>
              <w:bottom w:w="90" w:type="dxa"/>
              <w:end w:w="100" w:type="dxa"/>
            </w:tcMar>
            <w:vAlign w:val="top"/>
          </w:tcPr>
          <w:p>
            <w:pPr>
              <w:spacing w:after="0"/>
            </w:pPr>
            <w:r>
              <w:t>Time handling</w:t>
            </w:r>
          </w:p>
        </w:tc>
        <w:tc>
          <w:tcPr>
            <w:tcW w:type="dxa" w:w="4939"/>
            <w:tcMar>
              <w:top w:w="90" w:type="dxa"/>
              <w:start w:w="100" w:type="dxa"/>
              <w:bottom w:w="90" w:type="dxa"/>
              <w:end w:w="100" w:type="dxa"/>
            </w:tcMar>
            <w:vAlign w:val="top"/>
          </w:tcPr>
          <w:p>
            <w:pPr>
              <w:spacing w:after="0"/>
            </w:pPr>
            <w:r>
              <w:t>Store Integration Management runtime timestamps in UTC and localise only in the UI.</w:t>
            </w:r>
          </w:p>
        </w:tc>
      </w:tr>
    </w:tbl>
    <w:p>
      <w:pPr>
        <w:spacing w:after="20"/>
      </w:pPr>
    </w:p>
    <w:p>
      <w:pPr>
        <w:pStyle w:val="Heading1"/>
        <w:keepNext/>
      </w:pPr>
      <w:r>
        <w:t>4. Prepare databases, secrets and runtime prerequisites</w:t>
      </w:r>
    </w:p>
    <w:p>
      <w:pPr>
        <w:spacing w:after="100"/>
      </w:pPr>
      <w:r>
        <w:t>Each tenant requires its Integration Management schema. The generic Integration Management template is the source for new tenant databases. The runtime must be able to connect to Integration Management and, where required, to consumer modules such as Asset Management and Control Management.</w:t>
      </w:r>
    </w:p>
    <w:p>
      <w:pPr>
        <w:pStyle w:val="ListBullet"/>
        <w:spacing w:after="40"/>
      </w:pPr>
      <w:r>
        <w:t>Confirm the tenant Integration Management database exists and includes providers, capability catalog, connections, credentials, capabilities, jobs, runs, run metrics, sync state and observations.</w:t>
      </w:r>
    </w:p>
    <w:p>
      <w:pPr>
        <w:pStyle w:val="ListBullet"/>
        <w:spacing w:after="40"/>
      </w:pPr>
      <w:r>
        <w:t>Ensure the PurpleWASP master key/secret bootstrap is available to the web runtime and service runtime. Do not put provider secrets directly in source files or command-line arguments.</w:t>
      </w:r>
    </w:p>
    <w:p>
      <w:pPr>
        <w:pStyle w:val="ListBullet"/>
        <w:spacing w:after="40"/>
      </w:pPr>
      <w:r>
        <w:t>Configure the same PurpleWASP environment file for background services that the web application uses where applicable.</w:t>
      </w:r>
    </w:p>
    <w:p>
      <w:pPr>
        <w:pStyle w:val="ListBullet"/>
        <w:spacing w:after="40"/>
      </w:pPr>
      <w:r>
        <w:t>Confirm PHP has the extensions needed by the provider runtime and that TLS verification is enabled with an appropriate CA bundle.</w:t>
      </w:r>
    </w:p>
    <w:p>
      <w:pPr>
        <w:pStyle w:val="ListBullet"/>
        <w:spacing w:after="40"/>
      </w:pPr>
      <w:r>
        <w:t>Use the canonical paths under OUTSIDE_ROOT/assets/integration_management for background services and provider runtime code.</w:t>
      </w:r>
    </w:p>
    <w:tbl>
      <w:tblPr>
        <w:tblW w:type="auto" w:w="0"/>
        <w:jc w:val="center"/>
        <w:tblLook w:firstColumn="1" w:firstRow="1" w:lastColumn="0" w:lastRow="0" w:noHBand="0" w:noVBand="1" w:val="04A0"/>
      </w:tblPr>
      <w:tblGrid>
        <w:gridCol w:w="9878"/>
      </w:tblGrid>
      <w:tr>
        <w:tc>
          <w:tcPr>
            <w:tcW w:type="dxa" w:w="9878"/>
            <w:shd w:fill="FFF4E5"/>
            <w:tcMar>
              <w:top w:w="120" w:type="dxa"/>
              <w:start w:w="140" w:type="dxa"/>
              <w:bottom w:w="120" w:type="dxa"/>
              <w:end w:w="140" w:type="dxa"/>
            </w:tcMar>
          </w:tcPr>
          <w:p>
            <w:pPr>
              <w:spacing w:after="0"/>
            </w:pPr>
            <w:r>
              <w:rPr>
                <w:b/>
                <w:color w:val="8A4B00"/>
              </w:rPr>
              <w:t>Secrets rule</w:t>
              <w:br/>
            </w:r>
            <w:r>
              <w:t>Tenant IDs and client IDs can be handled as configuration. Client secrets, passwords, API credentials and master keys are secrets: enter them into the PurpleWASP configuration UI or protected environment, never into tickets, screenshots or chat transcripts.</w:t>
            </w:r>
          </w:p>
        </w:tc>
      </w:tr>
    </w:tbl>
    <w:p>
      <w:pPr>
        <w:spacing w:after="20"/>
      </w:pPr>
    </w:p>
    <w:p>
      <w:pPr>
        <w:pStyle w:val="Heading1"/>
        <w:keepNext/>
      </w:pPr>
      <w:r>
        <w:t>5. Configure Microsoft</w:t>
      </w:r>
    </w:p>
    <w:p>
      <w:pPr>
        <w:spacing w:after="100"/>
      </w:pPr>
      <w:r>
        <w:t>PurpleWASP uses one Microsoft tenant connection for five capability domains: microsoft.entra_identity, microsoft.m365_security, microsoft.intune_devices, microsoft.defender_endpoint and microsoft.azure_resources. Entra ID, Microsoft 365 Security and Azure have completed acceptance on the current test tenant. Intune and Defender for Endpoint are implemented and remain pending licensed-tenant acceptance testing.</w:t>
      </w:r>
    </w:p>
    <w:p>
      <w:pPr>
        <w:pStyle w:val="Heading2"/>
        <w:keepNext/>
      </w:pPr>
      <w:r>
        <w:t>Create or select the Microsoft application</w:t>
      </w:r>
    </w:p>
    <w:p>
      <w:pPr>
        <w:pStyle w:val="ListBullet"/>
        <w:spacing w:after="40"/>
      </w:pPr>
      <w:r>
        <w:t>Use a Microsoft Entra application registration intended for server-to-server collection.</w:t>
      </w:r>
    </w:p>
    <w:p>
      <w:pPr>
        <w:pStyle w:val="ListBullet"/>
        <w:spacing w:after="40"/>
      </w:pPr>
      <w:r>
        <w:t>Configure application permissions and grant tenant admin consent.</w:t>
      </w:r>
    </w:p>
    <w:p>
      <w:pPr>
        <w:pStyle w:val="ListBullet"/>
        <w:spacing w:after="40"/>
      </w:pPr>
      <w:r>
        <w:t>Create a client secret using the organisation’s credential-lifecycle process and record its expiry outside the secret value itself.</w:t>
      </w:r>
    </w:p>
    <w:tbl>
      <w:tblPr>
        <w:tblStyle w:val="TableGrid"/>
        <w:tblW w:type="auto" w:w="0"/>
        <w:jc w:val="center"/>
        <w:tblLook w:firstColumn="1" w:firstRow="1" w:lastColumn="0" w:lastRow="0" w:noHBand="0" w:noVBand="1" w:val="04A0"/>
      </w:tblPr>
      <w:tblGrid>
        <w:gridCol w:w="4939"/>
        <w:gridCol w:w="4939"/>
      </w:tblGrid>
      <w:tr>
        <w:trPr>
          <w:tblHeader w:val="true"/>
        </w:trPr>
        <w:tc>
          <w:tcPr>
            <w:tcW w:type="dxa" w:w="4939"/>
            <w:shd w:fill="4B0983"/>
            <w:tcMar>
              <w:top w:w="90" w:type="dxa"/>
              <w:start w:w="100" w:type="dxa"/>
              <w:bottom w:w="90" w:type="dxa"/>
              <w:end w:w="100" w:type="dxa"/>
            </w:tcMar>
            <w:vAlign w:val="center"/>
          </w:tcPr>
          <w:p>
            <w:r>
              <w:t>Microsoft permission / access prerequisite</w:t>
            </w:r>
          </w:p>
        </w:tc>
        <w:tc>
          <w:tcPr>
            <w:tcW w:type="dxa" w:w="4939"/>
            <w:shd w:fill="4B0983"/>
            <w:tcMar>
              <w:top w:w="90" w:type="dxa"/>
              <w:start w:w="100" w:type="dxa"/>
              <w:bottom w:w="90" w:type="dxa"/>
              <w:end w:w="100" w:type="dxa"/>
            </w:tcMar>
            <w:vAlign w:val="center"/>
          </w:tcPr>
          <w:p>
            <w:r>
              <w:t>Current use</w:t>
            </w:r>
          </w:p>
        </w:tc>
      </w:tr>
      <w:tr>
        <w:trPr>
          <w:cantSplit/>
        </w:trPr>
        <w:tc>
          <w:tcPr>
            <w:tcW w:type="dxa" w:w="4939"/>
            <w:tcMar>
              <w:top w:w="90" w:type="dxa"/>
              <w:start w:w="100" w:type="dxa"/>
              <w:bottom w:w="90" w:type="dxa"/>
              <w:end w:w="100" w:type="dxa"/>
            </w:tcMar>
            <w:vAlign w:val="top"/>
          </w:tcPr>
          <w:p>
            <w:pPr>
              <w:spacing w:after="0"/>
            </w:pPr>
            <w:r>
              <w:t>User.Read.All</w:t>
            </w:r>
          </w:p>
        </w:tc>
        <w:tc>
          <w:tcPr>
            <w:tcW w:type="dxa" w:w="4939"/>
            <w:tcMar>
              <w:top w:w="90" w:type="dxa"/>
              <w:start w:w="100" w:type="dxa"/>
              <w:bottom w:w="90" w:type="dxa"/>
              <w:end w:w="100" w:type="dxa"/>
            </w:tcMar>
            <w:vAlign w:val="top"/>
          </w:tcPr>
          <w:p>
            <w:r>
              <w:t>Required for Entra user collection.</w:t>
            </w:r>
          </w:p>
        </w:tc>
      </w:tr>
      <w:tr>
        <w:trPr>
          <w:cantSplit/>
        </w:trPr>
        <w:tc>
          <w:tcPr>
            <w:tcW w:type="dxa" w:w="4939"/>
            <w:tcMar>
              <w:top w:w="90" w:type="dxa"/>
              <w:start w:w="100" w:type="dxa"/>
              <w:bottom w:w="90" w:type="dxa"/>
              <w:end w:w="100" w:type="dxa"/>
            </w:tcMar>
            <w:vAlign w:val="top"/>
          </w:tcPr>
          <w:p>
            <w:pPr>
              <w:spacing w:after="0"/>
            </w:pPr>
            <w:r>
              <w:t>AuditLog.Read.All</w:t>
            </w:r>
          </w:p>
        </w:tc>
        <w:tc>
          <w:tcPr>
            <w:tcW w:type="dxa" w:w="4939"/>
            <w:tcMar>
              <w:top w:w="90" w:type="dxa"/>
              <w:start w:w="100" w:type="dxa"/>
              <w:bottom w:w="90" w:type="dxa"/>
              <w:end w:w="100" w:type="dxa"/>
            </w:tcMar>
            <w:vAlign w:val="top"/>
          </w:tcPr>
          <w:p>
            <w:r>
              <w:t>Used for Entra sign-in activity and registration reporting where supported/licensed.</w:t>
            </w:r>
          </w:p>
        </w:tc>
      </w:tr>
      <w:tr>
        <w:trPr>
          <w:cantSplit/>
        </w:trPr>
        <w:tc>
          <w:tcPr>
            <w:tcW w:type="dxa" w:w="4939"/>
            <w:tcMar>
              <w:top w:w="90" w:type="dxa"/>
              <w:start w:w="100" w:type="dxa"/>
              <w:bottom w:w="90" w:type="dxa"/>
              <w:end w:w="100" w:type="dxa"/>
            </w:tcMar>
            <w:vAlign w:val="top"/>
          </w:tcPr>
          <w:p>
            <w:pPr>
              <w:spacing w:after="0"/>
            </w:pPr>
            <w:r>
              <w:t>RoleManagement.Read.Directory</w:t>
            </w:r>
          </w:p>
        </w:tc>
        <w:tc>
          <w:tcPr>
            <w:tcW w:type="dxa" w:w="4939"/>
            <w:tcMar>
              <w:top w:w="90" w:type="dxa"/>
              <w:start w:w="100" w:type="dxa"/>
              <w:bottom w:w="90" w:type="dxa"/>
              <w:end w:w="100" w:type="dxa"/>
            </w:tcMar>
            <w:vAlign w:val="top"/>
          </w:tcPr>
          <w:p>
            <w:r>
              <w:t>Required for Entra directory role assignment evidence.</w:t>
            </w:r>
          </w:p>
        </w:tc>
      </w:tr>
      <w:tr>
        <w:trPr>
          <w:cantSplit/>
        </w:trPr>
        <w:tc>
          <w:tcPr>
            <w:tcW w:type="dxa" w:w="4939"/>
            <w:tcMar>
              <w:top w:w="90" w:type="dxa"/>
              <w:start w:w="100" w:type="dxa"/>
              <w:bottom w:w="90" w:type="dxa"/>
              <w:end w:w="100" w:type="dxa"/>
            </w:tcMar>
            <w:vAlign w:val="top"/>
          </w:tcPr>
          <w:p>
            <w:pPr>
              <w:spacing w:after="0"/>
            </w:pPr>
            <w:r>
              <w:t>Policy.Read.All</w:t>
            </w:r>
          </w:p>
        </w:tc>
        <w:tc>
          <w:tcPr>
            <w:tcW w:type="dxa" w:w="4939"/>
            <w:tcMar>
              <w:top w:w="90" w:type="dxa"/>
              <w:start w:w="100" w:type="dxa"/>
              <w:bottom w:w="90" w:type="dxa"/>
              <w:end w:w="100" w:type="dxa"/>
            </w:tcMar>
            <w:vAlign w:val="top"/>
          </w:tcPr>
          <w:p>
            <w:r>
              <w:t>Required for Entra Security Defaults and policy-related evidence.</w:t>
            </w:r>
          </w:p>
        </w:tc>
      </w:tr>
      <w:tr>
        <w:tc>
          <w:tcPr>
            <w:tcW w:type="dxa" w:w="4939"/>
          </w:tcPr>
          <w:p>
            <w:r>
              <w:t>SecurityEvents.Read.All</w:t>
            </w:r>
          </w:p>
        </w:tc>
        <w:tc>
          <w:tcPr>
            <w:tcW w:type="dxa" w:w="4939"/>
          </w:tcPr>
          <w:p>
            <w:r>
              <w:t>Used by Microsoft 365 Security collection where the tenant exposes the supported security data.</w:t>
            </w:r>
          </w:p>
        </w:tc>
      </w:tr>
      <w:tr>
        <w:tc>
          <w:tcPr>
            <w:tcW w:type="dxa" w:w="4939"/>
          </w:tcPr>
          <w:p>
            <w:r>
              <w:t>SecurityIncident.Read.All / SecurityAlert.Read.All</w:t>
            </w:r>
          </w:p>
        </w:tc>
        <w:tc>
          <w:tcPr>
            <w:tcW w:type="dxa" w:w="4939"/>
          </w:tcPr>
          <w:p>
            <w:r>
              <w:t>Used by Microsoft 365 Security incident/alert streams; tenant provisioning can still make these streams unavailable.</w:t>
            </w:r>
          </w:p>
        </w:tc>
      </w:tr>
      <w:tr>
        <w:tc>
          <w:tcPr>
            <w:tcW w:type="dxa" w:w="4939"/>
          </w:tcPr>
          <w:p>
            <w:r>
              <w:t>DeviceManagementManagedDevices.Read.All / DeviceManagementConfiguration.Read.All</w:t>
            </w:r>
          </w:p>
        </w:tc>
        <w:tc>
          <w:tcPr>
            <w:tcW w:type="dxa" w:w="4939"/>
          </w:tcPr>
          <w:p>
            <w:r>
              <w:t>Required when microsoft.intune_devices is enabled; an active Intune service/licence is also required.</w:t>
            </w:r>
          </w:p>
        </w:tc>
      </w:tr>
      <w:tr>
        <w:tc>
          <w:tcPr>
            <w:tcW w:type="dxa" w:w="4939"/>
          </w:tcPr>
          <w:p>
            <w:r>
              <w:t>Machine.Read.All / Vulnerability.Read.All</w:t>
            </w:r>
          </w:p>
        </w:tc>
        <w:tc>
          <w:tcPr>
            <w:tcW w:type="dxa" w:w="4939"/>
          </w:tcPr>
          <w:p>
            <w:r>
              <w:t>Required when microsoft.defender_endpoint is enabled; Defender for Endpoint licensing must be active.</w:t>
            </w:r>
          </w:p>
        </w:tc>
      </w:tr>
      <w:tr>
        <w:tc>
          <w:tcPr>
            <w:tcW w:type="dxa" w:w="4939"/>
          </w:tcPr>
          <w:p>
            <w:r>
              <w:t>Azure RBAC: Reader; Security Reader where posture collection is required</w:t>
            </w:r>
          </w:p>
        </w:tc>
        <w:tc>
          <w:tcPr>
            <w:tcW w:type="dxa" w:w="4939"/>
          </w:tcPr>
          <w:p>
            <w:r>
              <w:t>Required for microsoft.azure_resources to see subscription/resource inventory and Defender for Cloud posture.</w:t>
            </w:r>
          </w:p>
        </w:tc>
      </w:tr>
    </w:tbl>
    <w:p>
      <w:pPr>
        <w:spacing w:after="20"/>
      </w:pPr>
    </w:p>
    <w:p>
      <w:pPr>
        <w:spacing w:after="100"/>
      </w:pPr>
      <w:r>
        <w:t>The connection test distinguishes required evidence streams from optional/licence-dependent streams. A tenant can therefore be connected with limited evidence instead of failing the whole integration when optional APIs are unavailable.</w:t>
      </w:r>
    </w:p>
    <w:tbl>
      <w:tblPr>
        <w:tblStyle w:val="TableGrid"/>
        <w:tblW w:type="auto" w:w="0"/>
        <w:jc w:val="center"/>
        <w:tblLook w:firstColumn="1" w:firstRow="1" w:lastColumn="0" w:lastRow="0" w:noHBand="0" w:noVBand="1" w:val="04A0"/>
      </w:tblPr>
      <w:tblGrid>
        <w:gridCol w:w="4939"/>
        <w:gridCol w:w="4939"/>
      </w:tblGrid>
      <w:tr>
        <w:trPr>
          <w:tblHeader w:val="true"/>
        </w:trPr>
        <w:tc>
          <w:tcPr>
            <w:tcW w:type="dxa" w:w="4939"/>
            <w:shd w:fill="4B0983"/>
            <w:tcMar>
              <w:top w:w="90" w:type="dxa"/>
              <w:start w:w="100" w:type="dxa"/>
              <w:bottom w:w="90" w:type="dxa"/>
              <w:end w:w="100" w:type="dxa"/>
            </w:tcMar>
            <w:vAlign w:val="center"/>
          </w:tcPr>
          <w:p>
            <w:r>
              <w:t>Entra evidence stream</w:t>
            </w:r>
          </w:p>
        </w:tc>
        <w:tc>
          <w:tcPr>
            <w:tcW w:type="dxa" w:w="4939"/>
            <w:shd w:fill="4B0983"/>
            <w:tcMar>
              <w:top w:w="90" w:type="dxa"/>
              <w:start w:w="100" w:type="dxa"/>
              <w:bottom w:w="90" w:type="dxa"/>
              <w:end w:w="100" w:type="dxa"/>
            </w:tcMar>
            <w:vAlign w:val="center"/>
          </w:tcPr>
          <w:p>
            <w:r>
              <w:rPr>
                <w:b/>
                <w:color w:val="FFFFFF"/>
              </w:rPr>
              <w:t>Behaviour</w:t>
            </w:r>
          </w:p>
        </w:tc>
      </w:tr>
      <w:tr>
        <w:trPr>
          <w:cantSplit/>
        </w:trPr>
        <w:tc>
          <w:tcPr>
            <w:tcW w:type="dxa" w:w="4939"/>
            <w:tcMar>
              <w:top w:w="90" w:type="dxa"/>
              <w:start w:w="100" w:type="dxa"/>
              <w:bottom w:w="90" w:type="dxa"/>
              <w:end w:w="100" w:type="dxa"/>
            </w:tcMar>
            <w:vAlign w:val="top"/>
          </w:tcPr>
          <w:p>
            <w:pPr>
              <w:spacing w:after="0"/>
            </w:pPr>
            <w:r>
              <w:t>OAuth client credentials</w:t>
            </w:r>
          </w:p>
        </w:tc>
        <w:tc>
          <w:tcPr>
            <w:tcW w:type="dxa" w:w="4939"/>
            <w:tcMar>
              <w:top w:w="90" w:type="dxa"/>
              <w:start w:w="100" w:type="dxa"/>
              <w:bottom w:w="90" w:type="dxa"/>
              <w:end w:w="100" w:type="dxa"/>
            </w:tcMar>
            <w:vAlign w:val="top"/>
          </w:tcPr>
          <w:p>
            <w:pPr>
              <w:spacing w:after="0"/>
            </w:pPr>
            <w:r>
              <w:t>Blocking. Failure means the connection is invalid.</w:t>
            </w:r>
          </w:p>
        </w:tc>
      </w:tr>
      <w:tr>
        <w:trPr>
          <w:cantSplit/>
        </w:trPr>
        <w:tc>
          <w:tcPr>
            <w:tcW w:type="dxa" w:w="4939"/>
            <w:tcMar>
              <w:top w:w="90" w:type="dxa"/>
              <w:start w:w="100" w:type="dxa"/>
              <w:bottom w:w="90" w:type="dxa"/>
              <w:end w:w="100" w:type="dxa"/>
            </w:tcMar>
            <w:vAlign w:val="top"/>
          </w:tcPr>
          <w:p>
            <w:pPr>
              <w:spacing w:after="0"/>
            </w:pPr>
            <w:r>
              <w:t>Users</w:t>
            </w:r>
          </w:p>
        </w:tc>
        <w:tc>
          <w:tcPr>
            <w:tcW w:type="dxa" w:w="4939"/>
            <w:tcMar>
              <w:top w:w="90" w:type="dxa"/>
              <w:start w:w="100" w:type="dxa"/>
              <w:bottom w:w="90" w:type="dxa"/>
              <w:end w:w="100" w:type="dxa"/>
            </w:tcMar>
            <w:vAlign w:val="top"/>
          </w:tcPr>
          <w:p>
            <w:pPr>
              <w:spacing w:after="0"/>
            </w:pPr>
            <w:r>
              <w:t>Blocking.</w:t>
            </w:r>
          </w:p>
        </w:tc>
      </w:tr>
      <w:tr>
        <w:trPr>
          <w:cantSplit/>
        </w:trPr>
        <w:tc>
          <w:tcPr>
            <w:tcW w:type="dxa" w:w="4939"/>
            <w:tcMar>
              <w:top w:w="90" w:type="dxa"/>
              <w:start w:w="100" w:type="dxa"/>
              <w:bottom w:w="90" w:type="dxa"/>
              <w:end w:w="100" w:type="dxa"/>
            </w:tcMar>
            <w:vAlign w:val="top"/>
          </w:tcPr>
          <w:p>
            <w:pPr>
              <w:spacing w:after="0"/>
            </w:pPr>
            <w:r>
              <w:t>Directory role assignments</w:t>
            </w:r>
          </w:p>
        </w:tc>
        <w:tc>
          <w:tcPr>
            <w:tcW w:type="dxa" w:w="4939"/>
            <w:tcMar>
              <w:top w:w="90" w:type="dxa"/>
              <w:start w:w="100" w:type="dxa"/>
              <w:bottom w:w="90" w:type="dxa"/>
              <w:end w:w="100" w:type="dxa"/>
            </w:tcMar>
            <w:vAlign w:val="top"/>
          </w:tcPr>
          <w:p>
            <w:pPr>
              <w:spacing w:after="0"/>
            </w:pPr>
            <w:r>
              <w:t>Blocking.</w:t>
            </w:r>
          </w:p>
        </w:tc>
      </w:tr>
      <w:tr>
        <w:trPr>
          <w:cantSplit/>
        </w:trPr>
        <w:tc>
          <w:tcPr>
            <w:tcW w:type="dxa" w:w="4939"/>
            <w:tcMar>
              <w:top w:w="90" w:type="dxa"/>
              <w:start w:w="100" w:type="dxa"/>
              <w:bottom w:w="90" w:type="dxa"/>
              <w:end w:w="100" w:type="dxa"/>
            </w:tcMar>
            <w:vAlign w:val="top"/>
          </w:tcPr>
          <w:p>
            <w:pPr>
              <w:spacing w:after="0"/>
            </w:pPr>
            <w:r>
              <w:t>Security Defaults</w:t>
            </w:r>
          </w:p>
        </w:tc>
        <w:tc>
          <w:tcPr>
            <w:tcW w:type="dxa" w:w="4939"/>
            <w:tcMar>
              <w:top w:w="90" w:type="dxa"/>
              <w:start w:w="100" w:type="dxa"/>
              <w:bottom w:w="90" w:type="dxa"/>
              <w:end w:w="100" w:type="dxa"/>
            </w:tcMar>
            <w:vAlign w:val="top"/>
          </w:tcPr>
          <w:p>
            <w:pPr>
              <w:spacing w:after="0"/>
            </w:pPr>
            <w:r>
              <w:t>Blocking.</w:t>
            </w:r>
          </w:p>
        </w:tc>
      </w:tr>
      <w:tr>
        <w:trPr>
          <w:cantSplit/>
        </w:trPr>
        <w:tc>
          <w:tcPr>
            <w:tcW w:type="dxa" w:w="4939"/>
            <w:tcMar>
              <w:top w:w="90" w:type="dxa"/>
              <w:start w:w="100" w:type="dxa"/>
              <w:bottom w:w="90" w:type="dxa"/>
              <w:end w:w="100" w:type="dxa"/>
            </w:tcMar>
            <w:vAlign w:val="top"/>
          </w:tcPr>
          <w:p>
            <w:pPr>
              <w:spacing w:after="0"/>
            </w:pPr>
            <w:r>
              <w:t>MFA registration report</w:t>
            </w:r>
          </w:p>
        </w:tc>
        <w:tc>
          <w:tcPr>
            <w:tcW w:type="dxa" w:w="4939"/>
            <w:tcMar>
              <w:top w:w="90" w:type="dxa"/>
              <w:start w:w="100" w:type="dxa"/>
              <w:bottom w:w="90" w:type="dxa"/>
              <w:end w:w="100" w:type="dxa"/>
            </w:tcMar>
            <w:vAlign w:val="top"/>
          </w:tcPr>
          <w:p>
            <w:pPr>
              <w:spacing w:after="0"/>
            </w:pPr>
            <w:r>
              <w:t>Optional/licence-dependent; failure produces limited/inconclusive evidence.</w:t>
            </w:r>
          </w:p>
        </w:tc>
      </w:tr>
      <w:tr>
        <w:trPr>
          <w:cantSplit/>
        </w:trPr>
        <w:tc>
          <w:tcPr>
            <w:tcW w:type="dxa" w:w="4939"/>
            <w:tcMar>
              <w:top w:w="90" w:type="dxa"/>
              <w:start w:w="100" w:type="dxa"/>
              <w:bottom w:w="90" w:type="dxa"/>
              <w:end w:w="100" w:type="dxa"/>
            </w:tcMar>
            <w:vAlign w:val="top"/>
          </w:tcPr>
          <w:p>
            <w:pPr>
              <w:spacing w:after="0"/>
            </w:pPr>
            <w:r>
              <w:t>Conditional Access</w:t>
            </w:r>
          </w:p>
        </w:tc>
        <w:tc>
          <w:tcPr>
            <w:tcW w:type="dxa" w:w="4939"/>
            <w:tcMar>
              <w:top w:w="90" w:type="dxa"/>
              <w:start w:w="100" w:type="dxa"/>
              <w:bottom w:w="90" w:type="dxa"/>
              <w:end w:w="100" w:type="dxa"/>
            </w:tcMar>
            <w:vAlign w:val="top"/>
          </w:tcPr>
          <w:p>
            <w:pPr>
              <w:spacing w:after="0"/>
            </w:pPr>
            <w:r>
              <w:t>Optional/licence-dependent.</w:t>
            </w:r>
          </w:p>
        </w:tc>
      </w:tr>
      <w:tr>
        <w:trPr>
          <w:cantSplit/>
        </w:trPr>
        <w:tc>
          <w:tcPr>
            <w:tcW w:type="dxa" w:w="4939"/>
            <w:tcMar>
              <w:top w:w="90" w:type="dxa"/>
              <w:start w:w="100" w:type="dxa"/>
              <w:bottom w:w="90" w:type="dxa"/>
              <w:end w:w="100" w:type="dxa"/>
            </w:tcMar>
            <w:vAlign w:val="top"/>
          </w:tcPr>
          <w:p>
            <w:pPr>
              <w:spacing w:after="0"/>
            </w:pPr>
            <w:r>
              <w:t>signInActivity</w:t>
            </w:r>
          </w:p>
        </w:tc>
        <w:tc>
          <w:tcPr>
            <w:tcW w:type="dxa" w:w="4939"/>
            <w:tcMar>
              <w:top w:w="90" w:type="dxa"/>
              <w:start w:w="100" w:type="dxa"/>
              <w:bottom w:w="90" w:type="dxa"/>
              <w:end w:w="100" w:type="dxa"/>
            </w:tcMar>
            <w:vAlign w:val="top"/>
          </w:tcPr>
          <w:p>
            <w:pPr>
              <w:spacing w:after="0"/>
            </w:pPr>
            <w:r>
              <w:t>Optional/licence-dependent; stale-account automation becomes inconclusive when unavailable.</w:t>
            </w:r>
          </w:p>
        </w:tc>
      </w:tr>
    </w:tbl>
    <w:p>
      <w:pPr>
        <w:spacing w:after="20"/>
      </w:pPr>
    </w:p>
    <w:p>
      <w:pPr>
        <w:pStyle w:val="Heading2"/>
        <w:keepNext/>
      </w:pPr>
      <w:r>
        <w:t>Save, test and activate</w:t>
      </w:r>
    </w:p>
    <w:p>
      <w:pPr>
        <w:pStyle w:val="ListNumber"/>
        <w:spacing w:after="40"/>
      </w:pPr>
      <w:r>
        <w:t>Open Admin → Integrations and select Microsoft.</w:t>
      </w:r>
    </w:p>
    <w:p>
      <w:pPr>
        <w:pStyle w:val="ListNumber"/>
        <w:spacing w:after="40"/>
      </w:pPr>
      <w:r>
        <w:t>Enter the tenant ID, client ID and client secret using the integration form.</w:t>
      </w:r>
    </w:p>
    <w:p>
      <w:pPr>
        <w:pStyle w:val="ListNumber"/>
        <w:spacing w:after="40"/>
      </w:pPr>
      <w:r>
        <w:t>Run Test Connection. Resolve required failures before activation. Review any limited-evidence message for optional streams.</w:t>
      </w:r>
    </w:p>
    <w:p>
      <w:pPr>
        <w:pStyle w:val="ListNumber"/>
        <w:spacing w:after="40"/>
      </w:pPr>
      <w:r>
        <w:t>Activate the shared Microsoft connection and enable only the capabilities the organisation intends to use. Disabled capabilities are preserved and are not queued by Run Sync or the scheduler.</w:t>
      </w:r>
    </w:p>
    <w:p>
      <w:pPr>
        <w:pStyle w:val="ListNumber"/>
        <w:spacing w:after="40"/>
      </w:pPr>
      <w:r>
        <w:t>Run a manual sync once before relying on the scheduler.</w:t>
      </w:r>
    </w:p>
    <w:p>
      <w:pPr>
        <w:pStyle w:val="Heading1"/>
        <w:keepNext/>
      </w:pPr>
      <w:r>
        <w:t>6. Configure Qualys</w:t>
      </w:r>
    </w:p>
    <w:p>
      <w:pPr>
        <w:spacing w:after="100"/>
      </w:pPr>
      <w:r>
        <w:t>Qualys uses the canonical Integration Management connection/credential runtime while vulnerability findings remain Asset Management domain data. This boundary allows one shared integration control plane without moving vulnerability business logic out of Asset Management.</w:t>
      </w:r>
    </w:p>
    <w:p>
      <w:pPr>
        <w:pStyle w:val="ListNumber"/>
        <w:spacing w:after="40"/>
      </w:pPr>
      <w:r>
        <w:t>Open Admin → Integrations and select Qualys.</w:t>
      </w:r>
    </w:p>
    <w:p>
      <w:pPr>
        <w:pStyle w:val="ListNumber"/>
        <w:spacing w:after="40"/>
      </w:pPr>
      <w:r>
        <w:t>Enter the Qualys platform/base URL and API credentials appropriate to the organisation.</w:t>
      </w:r>
    </w:p>
    <w:p>
      <w:pPr>
        <w:pStyle w:val="ListNumber"/>
        <w:spacing w:after="40"/>
      </w:pPr>
      <w:r>
        <w:t>Run Test Connection and resolve authentication, TLS or endpoint problems before activation.</w:t>
      </w:r>
    </w:p>
    <w:p>
      <w:pPr>
        <w:pStyle w:val="ListNumber"/>
        <w:spacing w:after="40"/>
      </w:pPr>
      <w:r>
        <w:t>Activate the Qualys connection and enable qualys.vulnerability_findings.</w:t>
      </w:r>
    </w:p>
    <w:p>
      <w:pPr>
        <w:pStyle w:val="ListNumber"/>
        <w:spacing w:after="40"/>
      </w:pPr>
      <w:r>
        <w:t>Run a manual sync and confirm the resulting vulnerability data appears in the Asset Management technical-exposure workflow.</w:t>
      </w:r>
    </w:p>
    <w:tbl>
      <w:tblPr>
        <w:tblW w:type="auto" w:w="0"/>
        <w:jc w:val="center"/>
        <w:tblLook w:firstColumn="1" w:firstRow="1" w:lastColumn="0" w:lastRow="0" w:noHBand="0" w:noVBand="1" w:val="04A0"/>
      </w:tblPr>
      <w:tblGrid>
        <w:gridCol w:w="9878"/>
      </w:tblGrid>
      <w:tr>
        <w:tc>
          <w:tcPr>
            <w:tcW w:type="dxa" w:w="9878"/>
            <w:shd w:fill="F2EAF8"/>
            <w:tcMar>
              <w:top w:w="120" w:type="dxa"/>
              <w:start w:w="140" w:type="dxa"/>
              <w:bottom w:w="120" w:type="dxa"/>
              <w:end w:w="140" w:type="dxa"/>
            </w:tcMar>
          </w:tcPr>
          <w:p>
            <w:pPr>
              <w:spacing w:after="0"/>
            </w:pPr>
            <w:r>
              <w:rPr>
                <w:b/>
                <w:color w:val="4B0983"/>
              </w:rPr>
              <w:t>Do not recreate the old architecture</w:t>
              <w:br/>
            </w:r>
            <w:r>
              <w:t>Legacy Asset Management integration-control-plane tables and runtime files were retired after migration. New deployments must not recreate asset_integrations or point services back to asset_mgt/integration_worker.php.</w:t>
            </w:r>
          </w:p>
        </w:tc>
      </w:tr>
    </w:tbl>
    <w:p>
      <w:pPr>
        <w:spacing w:after="20"/>
      </w:pPr>
    </w:p>
    <w:p>
      <w:pPr>
        <w:pStyle w:val="Heading1"/>
        <w:keepNext/>
      </w:pPr>
      <w:r>
        <w:t>7. Activate worker and scheduler services</w:t>
      </w:r>
    </w:p>
    <w:p>
      <w:pPr>
        <w:pStyle w:val="Heading2"/>
        <w:keepNext/>
      </w:pPr>
      <w:r>
        <w:t>Windows / WAMP development or hosted Windows</w:t>
      </w:r>
    </w:p>
    <w:tbl>
      <w:tblPr>
        <w:tblStyle w:val="TableGrid"/>
        <w:tblW w:type="auto" w:w="0"/>
        <w:jc w:val="center"/>
        <w:tblLook w:firstColumn="1" w:firstRow="1" w:lastColumn="0" w:lastRow="0" w:noHBand="0" w:noVBand="1" w:val="04A0"/>
      </w:tblPr>
      <w:tblGrid>
        <w:gridCol w:w="4939"/>
        <w:gridCol w:w="4939"/>
      </w:tblGrid>
      <w:tr>
        <w:trPr>
          <w:tblHeader w:val="true"/>
        </w:trPr>
        <w:tc>
          <w:tcPr>
            <w:tcW w:type="dxa" w:w="4939"/>
            <w:shd w:fill="4B0983"/>
            <w:tcMar>
              <w:top w:w="90" w:type="dxa"/>
              <w:start w:w="100" w:type="dxa"/>
              <w:bottom w:w="90" w:type="dxa"/>
              <w:end w:w="100" w:type="dxa"/>
            </w:tcMar>
            <w:vAlign w:val="center"/>
          </w:tcPr>
          <w:p>
            <w:r>
              <w:rPr>
                <w:b/>
                <w:color w:val="FFFFFF"/>
              </w:rPr>
              <w:t>Purpose</w:t>
            </w:r>
          </w:p>
        </w:tc>
        <w:tc>
          <w:tcPr>
            <w:tcW w:type="dxa" w:w="4939"/>
            <w:shd w:fill="4B0983"/>
            <w:tcMar>
              <w:top w:w="90" w:type="dxa"/>
              <w:start w:w="100" w:type="dxa"/>
              <w:bottom w:w="90" w:type="dxa"/>
              <w:end w:w="100" w:type="dxa"/>
            </w:tcMar>
            <w:vAlign w:val="center"/>
          </w:tcPr>
          <w:p>
            <w:r>
              <w:rPr>
                <w:b/>
                <w:color w:val="FFFFFF"/>
              </w:rPr>
              <w:t>Canonical command</w:t>
            </w:r>
          </w:p>
        </w:tc>
      </w:tr>
      <w:tr>
        <w:trPr>
          <w:cantSplit/>
        </w:trPr>
        <w:tc>
          <w:tcPr>
            <w:tcW w:type="dxa" w:w="4939"/>
            <w:tcMar>
              <w:top w:w="90" w:type="dxa"/>
              <w:start w:w="100" w:type="dxa"/>
              <w:bottom w:w="90" w:type="dxa"/>
              <w:end w:w="100" w:type="dxa"/>
            </w:tcMar>
            <w:vAlign w:val="top"/>
          </w:tcPr>
          <w:p>
            <w:pPr>
              <w:spacing w:after="0"/>
            </w:pPr>
            <w:r>
              <w:t>Worker</w:t>
            </w:r>
          </w:p>
        </w:tc>
        <w:tc>
          <w:tcPr>
            <w:tcW w:type="dxa" w:w="4939"/>
            <w:tcMar>
              <w:top w:w="90" w:type="dxa"/>
              <w:start w:w="100" w:type="dxa"/>
              <w:bottom w:w="90" w:type="dxa"/>
              <w:end w:w="100" w:type="dxa"/>
            </w:tcMar>
            <w:vAlign w:val="top"/>
          </w:tcPr>
          <w:p>
            <w:pPr>
              <w:spacing w:after="0"/>
            </w:pPr>
            <w:r>
              <w:t>C:\wamp64\bin\php\php8.3.14\php.exe C:\wamp64\compout\assets\integration_management\integration_worker.php</w:t>
            </w:r>
          </w:p>
        </w:tc>
      </w:tr>
      <w:tr>
        <w:trPr>
          <w:cantSplit/>
        </w:trPr>
        <w:tc>
          <w:tcPr>
            <w:tcW w:type="dxa" w:w="4939"/>
            <w:tcMar>
              <w:top w:w="90" w:type="dxa"/>
              <w:start w:w="100" w:type="dxa"/>
              <w:bottom w:w="90" w:type="dxa"/>
              <w:end w:w="100" w:type="dxa"/>
            </w:tcMar>
            <w:vAlign w:val="top"/>
          </w:tcPr>
          <w:p>
            <w:pPr>
              <w:spacing w:after="0"/>
            </w:pPr>
            <w:r>
              <w:t>Scheduler</w:t>
            </w:r>
          </w:p>
        </w:tc>
        <w:tc>
          <w:tcPr>
            <w:tcW w:type="dxa" w:w="4939"/>
            <w:tcMar>
              <w:top w:w="90" w:type="dxa"/>
              <w:start w:w="100" w:type="dxa"/>
              <w:bottom w:w="90" w:type="dxa"/>
              <w:end w:w="100" w:type="dxa"/>
            </w:tcMar>
            <w:vAlign w:val="top"/>
          </w:tcPr>
          <w:p>
            <w:pPr>
              <w:spacing w:after="0"/>
            </w:pPr>
            <w:r>
              <w:t>C:\wamp64\bin\php\php8.3.14\php.exe C:\wamp64\compout\assets\integration_management\integration_scheduler.php</w:t>
            </w:r>
          </w:p>
        </w:tc>
      </w:tr>
    </w:tbl>
    <w:p>
      <w:pPr>
        <w:spacing w:after="20"/>
      </w:pPr>
    </w:p>
    <w:p>
      <w:pPr>
        <w:spacing w:after="100"/>
      </w:pPr>
      <w:r>
        <w:t>The worker should run persistently. The scheduler is short-lived: it scans due integrations, queues jobs, and exits. A Task Scheduler entry can invoke the scheduler periodically.</w:t>
      </w:r>
    </w:p>
    <w:p>
      <w:pPr>
        <w:pStyle w:val="Heading2"/>
        <w:keepNext/>
      </w:pPr>
      <w:r>
        <w:t>Linux / systemd</w:t>
      </w:r>
    </w:p>
    <w:tbl>
      <w:tblPr>
        <w:tblStyle w:val="TableGrid"/>
        <w:tblW w:type="auto" w:w="0"/>
        <w:jc w:val="center"/>
        <w:tblLook w:firstColumn="1" w:firstRow="1" w:lastColumn="0" w:lastRow="0" w:noHBand="0" w:noVBand="1" w:val="04A0"/>
      </w:tblPr>
      <w:tblGrid>
        <w:gridCol w:w="4939"/>
        <w:gridCol w:w="4939"/>
      </w:tblGrid>
      <w:tr>
        <w:trPr>
          <w:tblHeader w:val="true"/>
        </w:trPr>
        <w:tc>
          <w:tcPr>
            <w:tcW w:type="dxa" w:w="4939"/>
            <w:shd w:fill="4B0983"/>
            <w:tcMar>
              <w:top w:w="90" w:type="dxa"/>
              <w:start w:w="100" w:type="dxa"/>
              <w:bottom w:w="90" w:type="dxa"/>
              <w:end w:w="100" w:type="dxa"/>
            </w:tcMar>
            <w:vAlign w:val="center"/>
          </w:tcPr>
          <w:p>
            <w:r>
              <w:rPr>
                <w:b/>
                <w:color w:val="FFFFFF"/>
              </w:rPr>
              <w:t>Service</w:t>
            </w:r>
          </w:p>
        </w:tc>
        <w:tc>
          <w:tcPr>
            <w:tcW w:type="dxa" w:w="4939"/>
            <w:shd w:fill="4B0983"/>
            <w:tcMar>
              <w:top w:w="90" w:type="dxa"/>
              <w:start w:w="100" w:type="dxa"/>
              <w:bottom w:w="90" w:type="dxa"/>
              <w:end w:w="100" w:type="dxa"/>
            </w:tcMar>
            <w:vAlign w:val="center"/>
          </w:tcPr>
          <w:p>
            <w:r>
              <w:rPr>
                <w:b/>
                <w:color w:val="FFFFFF"/>
              </w:rPr>
              <w:t>Canonical ExecStart</w:t>
            </w:r>
          </w:p>
        </w:tc>
      </w:tr>
      <w:tr>
        <w:trPr>
          <w:cantSplit/>
        </w:trPr>
        <w:tc>
          <w:tcPr>
            <w:tcW w:type="dxa" w:w="4939"/>
            <w:tcMar>
              <w:top w:w="90" w:type="dxa"/>
              <w:start w:w="100" w:type="dxa"/>
              <w:bottom w:w="90" w:type="dxa"/>
              <w:end w:w="100" w:type="dxa"/>
            </w:tcMar>
            <w:vAlign w:val="top"/>
          </w:tcPr>
          <w:p>
            <w:pPr>
              <w:spacing w:after="0"/>
            </w:pPr>
            <w:r>
              <w:t>purplewasp-integration-worker.service</w:t>
            </w:r>
          </w:p>
        </w:tc>
        <w:tc>
          <w:tcPr>
            <w:tcW w:type="dxa" w:w="4939"/>
            <w:tcMar>
              <w:top w:w="90" w:type="dxa"/>
              <w:start w:w="100" w:type="dxa"/>
              <w:bottom w:w="90" w:type="dxa"/>
              <w:end w:w="100" w:type="dxa"/>
            </w:tcMar>
            <w:vAlign w:val="top"/>
          </w:tcPr>
          <w:p>
            <w:pPr>
              <w:spacing w:after="0"/>
            </w:pPr>
            <w:r>
              <w:t>/usr/bin/php /var/compout/assets/integration_management/integration_worker.php</w:t>
            </w:r>
          </w:p>
        </w:tc>
      </w:tr>
      <w:tr>
        <w:trPr>
          <w:cantSplit/>
        </w:trPr>
        <w:tc>
          <w:tcPr>
            <w:tcW w:type="dxa" w:w="4939"/>
            <w:tcMar>
              <w:top w:w="90" w:type="dxa"/>
              <w:start w:w="100" w:type="dxa"/>
              <w:bottom w:w="90" w:type="dxa"/>
              <w:end w:w="100" w:type="dxa"/>
            </w:tcMar>
            <w:vAlign w:val="top"/>
          </w:tcPr>
          <w:p>
            <w:pPr>
              <w:spacing w:after="0"/>
            </w:pPr>
            <w:r>
              <w:t>purplewasp-integration-scheduler.service</w:t>
            </w:r>
          </w:p>
        </w:tc>
        <w:tc>
          <w:tcPr>
            <w:tcW w:type="dxa" w:w="4939"/>
            <w:tcMar>
              <w:top w:w="90" w:type="dxa"/>
              <w:start w:w="100" w:type="dxa"/>
              <w:bottom w:w="90" w:type="dxa"/>
              <w:end w:w="100" w:type="dxa"/>
            </w:tcMar>
            <w:vAlign w:val="top"/>
          </w:tcPr>
          <w:p>
            <w:pPr>
              <w:spacing w:after="0"/>
            </w:pPr>
            <w:r>
              <w:t>/usr/bin/php /var/compout/assets/integration_management/integration_scheduler.php</w:t>
            </w:r>
          </w:p>
        </w:tc>
      </w:tr>
    </w:tbl>
    <w:p>
      <w:pPr>
        <w:spacing w:after="20"/>
      </w:pPr>
    </w:p>
    <w:p>
      <w:pPr>
        <w:pStyle w:val="ListBullet"/>
        <w:spacing w:after="40"/>
      </w:pPr>
      <w:r>
        <w:t>Worker service: Type=simple, Restart=always, running as the PurpleWASP service account.</w:t>
      </w:r>
    </w:p>
    <w:p>
      <w:pPr>
        <w:pStyle w:val="ListBullet"/>
        <w:spacing w:after="40"/>
      </w:pPr>
      <w:r>
        <w:t>Scheduler service: Type=oneshot and invoked by purplewasp-integration-scheduler.timer.</w:t>
      </w:r>
    </w:p>
    <w:p>
      <w:pPr>
        <w:pStyle w:val="ListBullet"/>
        <w:spacing w:after="40"/>
      </w:pPr>
      <w:r>
        <w:t>Both services should load /etc/purplewasp/purplewasp.env where the deployment uses the shared environment file.</w:t>
      </w:r>
    </w:p>
    <w:p>
      <w:pPr>
        <w:pStyle w:val="ListBullet"/>
        <w:spacing w:after="40"/>
      </w:pPr>
      <w:r>
        <w:t>A successful scheduler service normally ends inactive (dead) with status=0/SUCCESS; this is correct for a oneshot service.</w:t>
      </w:r>
    </w:p>
    <w:p>
      <w:pPr>
        <w:pStyle w:val="Heading1"/>
        <w:keepNext/>
      </w:pPr>
      <w:r>
        <w:t>8. Understand jobs, runs, observations and evidence</w:t>
      </w:r>
    </w:p>
    <w:tbl>
      <w:tblPr>
        <w:tblStyle w:val="TableGrid"/>
        <w:tblW w:type="auto" w:w="0"/>
        <w:jc w:val="center"/>
        <w:tblLook w:firstColumn="1" w:firstRow="1" w:lastColumn="0" w:lastRow="0" w:noHBand="0" w:noVBand="1" w:val="04A0"/>
      </w:tblPr>
      <w:tblGrid>
        <w:gridCol w:w="4939"/>
        <w:gridCol w:w="4939"/>
      </w:tblGrid>
      <w:tr>
        <w:trPr>
          <w:tblHeader w:val="true"/>
        </w:trPr>
        <w:tc>
          <w:tcPr>
            <w:tcW w:type="dxa" w:w="4939"/>
            <w:shd w:fill="4B0983"/>
            <w:tcMar>
              <w:top w:w="90" w:type="dxa"/>
              <w:start w:w="100" w:type="dxa"/>
              <w:bottom w:w="90" w:type="dxa"/>
              <w:end w:w="100" w:type="dxa"/>
            </w:tcMar>
            <w:vAlign w:val="center"/>
          </w:tcPr>
          <w:p>
            <w:r>
              <w:rPr>
                <w:b/>
                <w:color w:val="FFFFFF"/>
              </w:rPr>
              <w:t>Layer</w:t>
            </w:r>
          </w:p>
        </w:tc>
        <w:tc>
          <w:tcPr>
            <w:tcW w:type="dxa" w:w="4939"/>
            <w:shd w:fill="4B0983"/>
            <w:tcMar>
              <w:top w:w="90" w:type="dxa"/>
              <w:start w:w="100" w:type="dxa"/>
              <w:bottom w:w="90" w:type="dxa"/>
              <w:end w:w="100" w:type="dxa"/>
            </w:tcMar>
            <w:vAlign w:val="center"/>
          </w:tcPr>
          <w:p>
            <w:r>
              <w:rPr>
                <w:b/>
                <w:color w:val="FFFFFF"/>
              </w:rPr>
              <w:t>Meaning</w:t>
            </w:r>
          </w:p>
        </w:tc>
      </w:tr>
      <w:tr>
        <w:trPr>
          <w:cantSplit/>
        </w:trPr>
        <w:tc>
          <w:tcPr>
            <w:tcW w:type="dxa" w:w="4939"/>
            <w:tcMar>
              <w:top w:w="90" w:type="dxa"/>
              <w:start w:w="100" w:type="dxa"/>
              <w:bottom w:w="90" w:type="dxa"/>
              <w:end w:w="100" w:type="dxa"/>
            </w:tcMar>
            <w:vAlign w:val="top"/>
          </w:tcPr>
          <w:p>
            <w:pPr>
              <w:spacing w:after="0"/>
            </w:pPr>
            <w:r>
              <w:t>Job</w:t>
            </w:r>
          </w:p>
        </w:tc>
        <w:tc>
          <w:tcPr>
            <w:tcW w:type="dxa" w:w="4939"/>
            <w:tcMar>
              <w:top w:w="90" w:type="dxa"/>
              <w:start w:w="100" w:type="dxa"/>
              <w:bottom w:w="90" w:type="dxa"/>
              <w:end w:w="100" w:type="dxa"/>
            </w:tcMar>
            <w:vAlign w:val="top"/>
          </w:tcPr>
          <w:p>
            <w:pPr>
              <w:spacing w:after="0"/>
            </w:pPr>
            <w:r>
              <w:t>Queued unit of background work, manual or scheduled.</w:t>
            </w:r>
          </w:p>
        </w:tc>
      </w:tr>
      <w:tr>
        <w:trPr>
          <w:cantSplit/>
        </w:trPr>
        <w:tc>
          <w:tcPr>
            <w:tcW w:type="dxa" w:w="4939"/>
            <w:tcMar>
              <w:top w:w="90" w:type="dxa"/>
              <w:start w:w="100" w:type="dxa"/>
              <w:bottom w:w="90" w:type="dxa"/>
              <w:end w:w="100" w:type="dxa"/>
            </w:tcMar>
            <w:vAlign w:val="top"/>
          </w:tcPr>
          <w:p>
            <w:pPr>
              <w:spacing w:after="0"/>
            </w:pPr>
            <w:r>
              <w:t>Run</w:t>
            </w:r>
          </w:p>
        </w:tc>
        <w:tc>
          <w:tcPr>
            <w:tcW w:type="dxa" w:w="4939"/>
            <w:tcMar>
              <w:top w:w="90" w:type="dxa"/>
              <w:start w:w="100" w:type="dxa"/>
              <w:bottom w:w="90" w:type="dxa"/>
              <w:end w:w="100" w:type="dxa"/>
            </w:tcMar>
            <w:vAlign w:val="top"/>
          </w:tcPr>
          <w:p>
            <w:pPr>
              <w:spacing w:after="0"/>
            </w:pPr>
            <w:r>
              <w:t>Provider/capability execution record with result, counts and timing.</w:t>
            </w:r>
          </w:p>
        </w:tc>
      </w:tr>
      <w:tr>
        <w:trPr>
          <w:cantSplit/>
        </w:trPr>
        <w:tc>
          <w:tcPr>
            <w:tcW w:type="dxa" w:w="4939"/>
            <w:tcMar>
              <w:top w:w="90" w:type="dxa"/>
              <w:start w:w="100" w:type="dxa"/>
              <w:bottom w:w="90" w:type="dxa"/>
              <w:end w:w="100" w:type="dxa"/>
            </w:tcMar>
            <w:vAlign w:val="top"/>
          </w:tcPr>
          <w:p>
            <w:pPr>
              <w:spacing w:after="0"/>
            </w:pPr>
            <w:r>
              <w:t>Observation</w:t>
            </w:r>
          </w:p>
        </w:tc>
        <w:tc>
          <w:tcPr>
            <w:tcW w:type="dxa" w:w="4939"/>
            <w:tcMar>
              <w:top w:w="90" w:type="dxa"/>
              <w:start w:w="100" w:type="dxa"/>
              <w:bottom w:w="90" w:type="dxa"/>
              <w:end w:w="100" w:type="dxa"/>
            </w:tcMar>
            <w:vAlign w:val="top"/>
          </w:tcPr>
          <w:p>
            <w:pPr>
              <w:spacing w:after="0"/>
            </w:pPr>
            <w:r>
              <w:t>Normalized provider fact written by a collector.</w:t>
            </w:r>
          </w:p>
        </w:tc>
      </w:tr>
      <w:tr>
        <w:trPr>
          <w:cantSplit/>
        </w:trPr>
        <w:tc>
          <w:tcPr>
            <w:tcW w:type="dxa" w:w="4939"/>
            <w:tcMar>
              <w:top w:w="90" w:type="dxa"/>
              <w:start w:w="100" w:type="dxa"/>
              <w:bottom w:w="90" w:type="dxa"/>
              <w:end w:w="100" w:type="dxa"/>
            </w:tcMar>
            <w:vAlign w:val="top"/>
          </w:tcPr>
          <w:p>
            <w:pPr>
              <w:spacing w:after="0"/>
            </w:pPr>
            <w:r>
              <w:t>Automation rule</w:t>
            </w:r>
          </w:p>
        </w:tc>
        <w:tc>
          <w:tcPr>
            <w:tcW w:type="dxa" w:w="4939"/>
            <w:tcMar>
              <w:top w:w="90" w:type="dxa"/>
              <w:start w:w="100" w:type="dxa"/>
              <w:bottom w:w="90" w:type="dxa"/>
              <w:end w:w="100" w:type="dxa"/>
            </w:tcMar>
            <w:vAlign w:val="top"/>
          </w:tcPr>
          <w:p>
            <w:pPr>
              <w:spacing w:after="0"/>
            </w:pPr>
            <w:r>
              <w:t>Evaluation logic that turns observations into a Control test conclusion.</w:t>
            </w:r>
          </w:p>
        </w:tc>
      </w:tr>
      <w:tr>
        <w:trPr>
          <w:cantSplit/>
        </w:trPr>
        <w:tc>
          <w:tcPr>
            <w:tcW w:type="dxa" w:w="4939"/>
            <w:tcMar>
              <w:top w:w="90" w:type="dxa"/>
              <w:start w:w="100" w:type="dxa"/>
              <w:bottom w:w="90" w:type="dxa"/>
              <w:end w:w="100" w:type="dxa"/>
            </w:tcMar>
            <w:vAlign w:val="top"/>
          </w:tcPr>
          <w:p>
            <w:pPr>
              <w:spacing w:after="0"/>
            </w:pPr>
            <w:r>
              <w:t>Test run</w:t>
            </w:r>
          </w:p>
        </w:tc>
        <w:tc>
          <w:tcPr>
            <w:tcW w:type="dxa" w:w="4939"/>
            <w:tcMar>
              <w:top w:w="90" w:type="dxa"/>
              <w:start w:w="100" w:type="dxa"/>
              <w:bottom w:w="90" w:type="dxa"/>
              <w:end w:w="100" w:type="dxa"/>
            </w:tcMar>
            <w:vAlign w:val="top"/>
          </w:tcPr>
          <w:p>
            <w:pPr>
              <w:spacing w:after="0"/>
            </w:pPr>
            <w:r>
              <w:t>Preserved Control assurance execution result.</w:t>
            </w:r>
          </w:p>
        </w:tc>
      </w:tr>
      <w:tr>
        <w:trPr>
          <w:cantSplit/>
        </w:trPr>
        <w:tc>
          <w:tcPr>
            <w:tcW w:type="dxa" w:w="4939"/>
            <w:tcMar>
              <w:top w:w="90" w:type="dxa"/>
              <w:start w:w="100" w:type="dxa"/>
              <w:bottom w:w="90" w:type="dxa"/>
              <w:end w:w="100" w:type="dxa"/>
            </w:tcMar>
            <w:vAlign w:val="top"/>
          </w:tcPr>
          <w:p>
            <w:pPr>
              <w:spacing w:after="0"/>
            </w:pPr>
            <w:r>
              <w:t>Evidence</w:t>
            </w:r>
          </w:p>
        </w:tc>
        <w:tc>
          <w:tcPr>
            <w:tcW w:type="dxa" w:w="4939"/>
            <w:tcMar>
              <w:top w:w="90" w:type="dxa"/>
              <w:start w:w="100" w:type="dxa"/>
              <w:bottom w:w="90" w:type="dxa"/>
              <w:end w:w="100" w:type="dxa"/>
            </w:tcMar>
            <w:vAlign w:val="top"/>
          </w:tcPr>
          <w:p>
            <w:pPr>
              <w:spacing w:after="0"/>
            </w:pPr>
            <w:r>
              <w:t>Control-linked integration evidence and provenance for the evaluation.</w:t>
            </w:r>
          </w:p>
        </w:tc>
      </w:tr>
    </w:tbl>
    <w:p>
      <w:pPr>
        <w:spacing w:after="20"/>
      </w:pPr>
    </w:p>
    <w:p>
      <w:pPr>
        <w:spacing w:after="100"/>
      </w:pPr>
      <w:r>
        <w:t>Integration evidence is additive assurance; it does not automatically change an organisation Control’s implementation_status. Management implementation state remains an explicit Control Management decision.</w:t>
      </w:r>
    </w:p>
    <w:tbl>
      <w:tblPr>
        <w:tblW w:type="auto" w:w="0"/>
        <w:jc w:val="center"/>
        <w:tblLook w:firstColumn="1" w:firstRow="1" w:lastColumn="0" w:lastRow="0" w:noHBand="0" w:noVBand="1" w:val="04A0"/>
      </w:tblPr>
      <w:tblGrid>
        <w:gridCol w:w="9878"/>
      </w:tblGrid>
      <w:tr>
        <w:tc>
          <w:tcPr>
            <w:tcW w:type="dxa" w:w="9878"/>
            <w:shd w:fill="F2EAF8"/>
            <w:tcMar>
              <w:top w:w="120" w:type="dxa"/>
              <w:start w:w="140" w:type="dxa"/>
              <w:bottom w:w="120" w:type="dxa"/>
              <w:end w:w="140" w:type="dxa"/>
            </w:tcMar>
          </w:tcPr>
          <w:p>
            <w:pPr>
              <w:spacing w:after="0"/>
            </w:pPr>
            <w:r>
              <w:rPr>
                <w:b/>
                <w:color w:val="4B0983"/>
              </w:rPr>
              <w:t>Evidence lifecycle</w:t>
              <w:br/>
            </w:r>
            <w:r>
              <w:t>For a given automated rule/binding, the newest integration-generated evidence is current and previous generated evidence is archived. Historical test runs and provenance remain preserved.</w:t>
            </w:r>
          </w:p>
        </w:tc>
      </w:tr>
    </w:tbl>
    <w:p>
      <w:pPr>
        <w:spacing w:after="20"/>
      </w:pPr>
    </w:p>
    <w:p>
      <w:pPr>
        <w:pStyle w:val="Heading1"/>
        <w:keepNext/>
      </w:pPr>
      <w:r>
        <w:t>9. Validate the end-to-end implementation</w:t>
      </w:r>
    </w:p>
    <w:p>
      <w:pPr>
        <w:pStyle w:val="ListBullet"/>
        <w:spacing w:after="40"/>
      </w:pPr>
      <w:r>
        <w:t>Admin → Integrations loads without exposing raw runtime/SQL errors.</w:t>
      </w:r>
    </w:p>
    <w:p>
      <w:pPr>
        <w:pStyle w:val="ListBullet"/>
        <w:spacing w:after="40"/>
      </w:pPr>
      <w:r>
        <w:t>Microsoft Test Connection authenticates the shared connection and reports readiness independently for Entra ID, Microsoft 365 Security, Intune, Defender for Endpoint and Azure, without invalidating the whole connection for licence-dependent capability failures.</w:t>
      </w:r>
    </w:p>
    <w:p>
      <w:pPr>
        <w:pStyle w:val="ListBullet"/>
        <w:spacing w:after="40"/>
      </w:pPr>
      <w:r>
        <w:t>Qualys Test Connection passes.</w:t>
      </w:r>
    </w:p>
    <w:p>
      <w:pPr>
        <w:pStyle w:val="ListBullet"/>
        <w:spacing w:after="40"/>
      </w:pPr>
      <w:r>
        <w:t>Manual sync queues a job and the canonical worker processes it.</w:t>
      </w:r>
    </w:p>
    <w:p>
      <w:pPr>
        <w:pStyle w:val="ListBullet"/>
        <w:spacing w:after="40"/>
      </w:pPr>
      <w:r>
        <w:t>Scheduler queues only due connections and exits successfully.</w:t>
      </w:r>
    </w:p>
    <w:p>
      <w:pPr>
        <w:pStyle w:val="ListBullet"/>
        <w:spacing w:after="40"/>
      </w:pPr>
      <w:r>
        <w:t>Runs and metrics are written in the tenant Integration Management database.</w:t>
      </w:r>
    </w:p>
    <w:p>
      <w:pPr>
        <w:pStyle w:val="ListBullet"/>
        <w:spacing w:after="40"/>
      </w:pPr>
      <w:r>
        <w:t>Microsoft observations are present for each enabled capability that is available or limited; disabled capabilities do not create new jobs.</w:t>
      </w:r>
    </w:p>
    <w:p>
      <w:pPr>
        <w:pStyle w:val="ListBullet"/>
        <w:spacing w:after="40"/>
      </w:pPr>
      <w:r>
        <w:t>Qualys vulnerability data is visible in the Asset Management domain workflow.</w:t>
      </w:r>
    </w:p>
    <w:p>
      <w:pPr>
        <w:pStyle w:val="ListBullet"/>
        <w:spacing w:after="40"/>
      </w:pPr>
      <w:r>
        <w:t>For already-adopted mapped Controls, automation creates/reuses tests, preserves test runs and materialises evidence.</w:t>
      </w:r>
    </w:p>
    <w:p>
      <w:pPr>
        <w:pStyle w:val="ListBullet"/>
        <w:spacing w:after="40"/>
      </w:pPr>
      <w:r>
        <w:t>A repeated materialisation of the same integration run is idempotent.</w:t>
      </w:r>
    </w:p>
    <w:p>
      <w:pPr>
        <w:pStyle w:val="ListBullet"/>
        <w:spacing w:after="40"/>
      </w:pPr>
      <w:r>
        <w:t>A later run archives older integration evidence for the same binding while preserving history.</w:t>
      </w:r>
    </w:p>
    <w:p>
      <w:pPr>
        <w:pStyle w:val="ListBullet"/>
        <w:spacing w:after="40"/>
      </w:pPr>
      <w:r>
        <w:t>No process, scheduled task, systemd unit or PHP reference points to the retired Asset Management integration runtime.</w:t>
      </w:r>
    </w:p>
    <w:p>
      <w:pPr>
        <w:pStyle w:val="Heading1"/>
        <w:keepNext/>
      </w:pPr>
      <w:r>
        <w:t>10. Operate the first production cycle</w:t>
      </w:r>
    </w:p>
    <w:p>
      <w:pPr>
        <w:spacing w:after="100"/>
      </w:pPr>
      <w:r>
        <w:t>Allow at least one scheduled cycle after the manual acceptance run. Confirm the scheduler fires, a due job can be queued, the worker consumes it and downstream evidence/data appears without manual intervention.</w:t>
      </w:r>
    </w:p>
    <w:tbl>
      <w:tblPr>
        <w:tblStyle w:val="TableGrid"/>
        <w:tblW w:type="auto" w:w="0"/>
        <w:jc w:val="center"/>
        <w:tblLook w:firstColumn="1" w:firstRow="1" w:lastColumn="0" w:lastRow="0" w:noHBand="0" w:noVBand="1" w:val="04A0"/>
      </w:tblPr>
      <w:tblGrid>
        <w:gridCol w:w="4939"/>
        <w:gridCol w:w="4939"/>
      </w:tblGrid>
      <w:tr>
        <w:trPr>
          <w:tblHeader w:val="true"/>
        </w:trPr>
        <w:tc>
          <w:tcPr>
            <w:tcW w:type="dxa" w:w="4939"/>
            <w:shd w:fill="4B0983"/>
            <w:tcMar>
              <w:top w:w="90" w:type="dxa"/>
              <w:start w:w="100" w:type="dxa"/>
              <w:bottom w:w="90" w:type="dxa"/>
              <w:end w:w="100" w:type="dxa"/>
            </w:tcMar>
            <w:vAlign w:val="center"/>
          </w:tcPr>
          <w:p>
            <w:r>
              <w:rPr>
                <w:b/>
                <w:color w:val="FFFFFF"/>
              </w:rPr>
              <w:t>Operational check</w:t>
            </w:r>
          </w:p>
        </w:tc>
        <w:tc>
          <w:tcPr>
            <w:tcW w:type="dxa" w:w="4939"/>
            <w:shd w:fill="4B0983"/>
            <w:tcMar>
              <w:top w:w="90" w:type="dxa"/>
              <w:start w:w="100" w:type="dxa"/>
              <w:bottom w:w="90" w:type="dxa"/>
              <w:end w:w="100" w:type="dxa"/>
            </w:tcMar>
            <w:vAlign w:val="center"/>
          </w:tcPr>
          <w:p>
            <w:r>
              <w:rPr>
                <w:b/>
                <w:color w:val="FFFFFF"/>
              </w:rPr>
              <w:t>What good looks like</w:t>
            </w:r>
          </w:p>
        </w:tc>
      </w:tr>
      <w:tr>
        <w:trPr>
          <w:cantSplit/>
        </w:trPr>
        <w:tc>
          <w:tcPr>
            <w:tcW w:type="dxa" w:w="4939"/>
            <w:tcMar>
              <w:top w:w="90" w:type="dxa"/>
              <w:start w:w="100" w:type="dxa"/>
              <w:bottom w:w="90" w:type="dxa"/>
              <w:end w:w="100" w:type="dxa"/>
            </w:tcMar>
            <w:vAlign w:val="top"/>
          </w:tcPr>
          <w:p>
            <w:pPr>
              <w:spacing w:after="0"/>
            </w:pPr>
            <w:r>
              <w:t>Worker</w:t>
            </w:r>
          </w:p>
        </w:tc>
        <w:tc>
          <w:tcPr>
            <w:tcW w:type="dxa" w:w="4939"/>
            <w:tcMar>
              <w:top w:w="90" w:type="dxa"/>
              <w:start w:w="100" w:type="dxa"/>
              <w:bottom w:w="90" w:type="dxa"/>
              <w:end w:w="100" w:type="dxa"/>
            </w:tcMar>
            <w:vAlign w:val="top"/>
          </w:tcPr>
          <w:p>
            <w:pPr>
              <w:spacing w:after="0"/>
            </w:pPr>
            <w:r>
              <w:t>Persistent and healthy; command line points to integration_management/integration_worker.php.</w:t>
            </w:r>
          </w:p>
        </w:tc>
      </w:tr>
      <w:tr>
        <w:trPr>
          <w:cantSplit/>
        </w:trPr>
        <w:tc>
          <w:tcPr>
            <w:tcW w:type="dxa" w:w="4939"/>
            <w:tcMar>
              <w:top w:w="90" w:type="dxa"/>
              <w:start w:w="100" w:type="dxa"/>
              <w:bottom w:w="90" w:type="dxa"/>
              <w:end w:w="100" w:type="dxa"/>
            </w:tcMar>
            <w:vAlign w:val="top"/>
          </w:tcPr>
          <w:p>
            <w:pPr>
              <w:spacing w:after="0"/>
            </w:pPr>
            <w:r>
              <w:t>Scheduler</w:t>
            </w:r>
          </w:p>
        </w:tc>
        <w:tc>
          <w:tcPr>
            <w:tcW w:type="dxa" w:w="4939"/>
            <w:tcMar>
              <w:top w:w="90" w:type="dxa"/>
              <w:start w:w="100" w:type="dxa"/>
              <w:bottom w:w="90" w:type="dxa"/>
              <w:end w:w="100" w:type="dxa"/>
            </w:tcMar>
            <w:vAlign w:val="top"/>
          </w:tcPr>
          <w:p>
            <w:pPr>
              <w:spacing w:after="0"/>
            </w:pPr>
            <w:r>
              <w:t>Periodic successful runs; errors=0.</w:t>
            </w:r>
          </w:p>
        </w:tc>
      </w:tr>
      <w:tr>
        <w:trPr>
          <w:cantSplit/>
        </w:trPr>
        <w:tc>
          <w:tcPr>
            <w:tcW w:type="dxa" w:w="4939"/>
            <w:tcMar>
              <w:top w:w="90" w:type="dxa"/>
              <w:start w:w="100" w:type="dxa"/>
              <w:bottom w:w="90" w:type="dxa"/>
              <w:end w:w="100" w:type="dxa"/>
            </w:tcMar>
            <w:vAlign w:val="top"/>
          </w:tcPr>
          <w:p>
            <w:pPr>
              <w:spacing w:after="0"/>
            </w:pPr>
            <w:r>
              <w:t>Queued jobs</w:t>
            </w:r>
          </w:p>
        </w:tc>
        <w:tc>
          <w:tcPr>
            <w:tcW w:type="dxa" w:w="4939"/>
            <w:tcMar>
              <w:top w:w="90" w:type="dxa"/>
              <w:start w:w="100" w:type="dxa"/>
              <w:bottom w:w="90" w:type="dxa"/>
              <w:end w:w="100" w:type="dxa"/>
            </w:tcMar>
            <w:vAlign w:val="top"/>
          </w:tcPr>
          <w:p>
            <w:pPr>
              <w:spacing w:after="0"/>
            </w:pPr>
            <w:r>
              <w:t>Remain low and are consumed promptly.</w:t>
            </w:r>
          </w:p>
        </w:tc>
      </w:tr>
      <w:tr>
        <w:trPr>
          <w:cantSplit/>
        </w:trPr>
        <w:tc>
          <w:tcPr>
            <w:tcW w:type="dxa" w:w="4939"/>
            <w:tcMar>
              <w:top w:w="90" w:type="dxa"/>
              <w:start w:w="100" w:type="dxa"/>
              <w:bottom w:w="90" w:type="dxa"/>
              <w:end w:w="100" w:type="dxa"/>
            </w:tcMar>
            <w:vAlign w:val="top"/>
          </w:tcPr>
          <w:p>
            <w:pPr>
              <w:spacing w:after="0"/>
            </w:pPr>
            <w:r>
              <w:t>Failed jobs</w:t>
            </w:r>
          </w:p>
        </w:tc>
        <w:tc>
          <w:tcPr>
            <w:tcW w:type="dxa" w:w="4939"/>
            <w:tcMar>
              <w:top w:w="90" w:type="dxa"/>
              <w:start w:w="100" w:type="dxa"/>
              <w:bottom w:w="90" w:type="dxa"/>
              <w:end w:w="100" w:type="dxa"/>
            </w:tcMar>
            <w:vAlign w:val="top"/>
          </w:tcPr>
          <w:p>
            <w:pPr>
              <w:spacing w:after="0"/>
            </w:pPr>
            <w:r>
              <w:t>Have a friendly operator-facing message plus protected diagnostic logging.</w:t>
            </w:r>
          </w:p>
        </w:tc>
      </w:tr>
      <w:tr>
        <w:trPr>
          <w:cantSplit/>
        </w:trPr>
        <w:tc>
          <w:tcPr>
            <w:tcW w:type="dxa" w:w="4939"/>
            <w:tcMar>
              <w:top w:w="90" w:type="dxa"/>
              <w:start w:w="100" w:type="dxa"/>
              <w:bottom w:w="90" w:type="dxa"/>
              <w:end w:w="100" w:type="dxa"/>
            </w:tcMar>
            <w:vAlign w:val="top"/>
          </w:tcPr>
          <w:p>
            <w:pPr>
              <w:spacing w:after="0"/>
            </w:pPr>
            <w:r>
              <w:t>Credentials</w:t>
            </w:r>
          </w:p>
        </w:tc>
        <w:tc>
          <w:tcPr>
            <w:tcW w:type="dxa" w:w="4939"/>
            <w:tcMar>
              <w:top w:w="90" w:type="dxa"/>
              <w:start w:w="100" w:type="dxa"/>
              <w:bottom w:w="90" w:type="dxa"/>
              <w:end w:w="100" w:type="dxa"/>
            </w:tcMar>
            <w:vAlign w:val="top"/>
          </w:tcPr>
          <w:p>
            <w:pPr>
              <w:spacing w:after="0"/>
            </w:pPr>
            <w:r>
              <w:t>Active and not near expiry; secret values are never displayed.</w:t>
            </w:r>
          </w:p>
        </w:tc>
      </w:tr>
      <w:tr>
        <w:trPr>
          <w:cantSplit/>
        </w:trPr>
        <w:tc>
          <w:tcPr>
            <w:tcW w:type="dxa" w:w="4939"/>
            <w:tcMar>
              <w:top w:w="90" w:type="dxa"/>
              <w:start w:w="100" w:type="dxa"/>
              <w:bottom w:w="90" w:type="dxa"/>
              <w:end w:w="100" w:type="dxa"/>
            </w:tcMar>
            <w:vAlign w:val="top"/>
          </w:tcPr>
          <w:p>
            <w:pPr>
              <w:spacing w:after="0"/>
            </w:pPr>
            <w:r>
              <w:t>Evidence</w:t>
            </w:r>
          </w:p>
        </w:tc>
        <w:tc>
          <w:tcPr>
            <w:tcW w:type="dxa" w:w="4939"/>
            <w:tcMar>
              <w:top w:w="90" w:type="dxa"/>
              <w:start w:w="100" w:type="dxa"/>
              <w:bottom w:w="90" w:type="dxa"/>
              <w:end w:w="100" w:type="dxa"/>
            </w:tcMar>
            <w:vAlign w:val="top"/>
          </w:tcPr>
          <w:p>
            <w:pPr>
              <w:spacing w:after="0"/>
            </w:pPr>
            <w:r>
              <w:t>Newest automated evidence current; older automated evidence archived.</w:t>
            </w:r>
          </w:p>
        </w:tc>
      </w:tr>
    </w:tbl>
    <w:p>
      <w:pPr>
        <w:spacing w:after="20"/>
      </w:pPr>
    </w:p>
    <w:p>
      <w:pPr>
        <w:pStyle w:val="Heading1"/>
        <w:keepNext/>
      </w:pPr>
      <w:r>
        <w:t>11. Security and change-control practices</w:t>
      </w:r>
    </w:p>
    <w:p>
      <w:pPr>
        <w:pStyle w:val="ListBullet"/>
        <w:spacing w:after="40"/>
      </w:pPr>
      <w:r>
        <w:t>Use least-privilege provider permissions and document why every permission is required.</w:t>
      </w:r>
    </w:p>
    <w:p>
      <w:pPr>
        <w:pStyle w:val="ListBullet"/>
        <w:spacing w:after="40"/>
      </w:pPr>
      <w:r>
        <w:t>Use encrypted credential storage and a protected platform master key.</w:t>
      </w:r>
    </w:p>
    <w:p>
      <w:pPr>
        <w:pStyle w:val="ListBullet"/>
        <w:spacing w:after="40"/>
      </w:pPr>
      <w:r>
        <w:t>Rotate provider secrets before expiry and retest the connection immediately after rotation.</w:t>
      </w:r>
    </w:p>
    <w:p>
      <w:pPr>
        <w:pStyle w:val="ListBullet"/>
        <w:spacing w:after="40"/>
      </w:pPr>
      <w:r>
        <w:t>Keep TLS verification enabled. Treat a disabled verification mode as temporary diagnostic work, not production configuration.</w:t>
      </w:r>
    </w:p>
    <w:p>
      <w:pPr>
        <w:pStyle w:val="ListBullet"/>
        <w:spacing w:after="40"/>
      </w:pPr>
      <w:r>
        <w:t>Preserve integration run/test/evidence history instead of deleting failures to make dashboards look healthy.</w:t>
      </w:r>
    </w:p>
    <w:p>
      <w:pPr>
        <w:pStyle w:val="ListBullet"/>
        <w:spacing w:after="40"/>
      </w:pPr>
      <w:r>
        <w:t>Do not automatically set Control implementation status from an external provider result.</w:t>
      </w:r>
    </w:p>
    <w:p>
      <w:pPr>
        <w:pStyle w:val="ListBullet"/>
        <w:spacing w:after="40"/>
      </w:pPr>
      <w:r>
        <w:t>Apply runtime path/service changes through change control because a wrong path can silently stop scheduled evidence collection.</w:t>
      </w:r>
    </w:p>
    <w:p>
      <w:pPr>
        <w:pStyle w:val="Heading1"/>
        <w:keepNext/>
      </w:pPr>
      <w:r>
        <w:t>12. Common first-time mistakes</w:t>
      </w:r>
    </w:p>
    <w:tbl>
      <w:tblPr>
        <w:tblStyle w:val="TableGrid"/>
        <w:tblW w:type="auto" w:w="0"/>
        <w:jc w:val="center"/>
        <w:tblLook w:firstColumn="1" w:firstRow="1" w:lastColumn="0" w:lastRow="0" w:noHBand="0" w:noVBand="1" w:val="04A0"/>
      </w:tblPr>
      <w:tblGrid>
        <w:gridCol w:w="4939"/>
        <w:gridCol w:w="4939"/>
      </w:tblGrid>
      <w:tr>
        <w:trPr>
          <w:tblHeader w:val="true"/>
        </w:trPr>
        <w:tc>
          <w:tcPr>
            <w:tcW w:type="dxa" w:w="4939"/>
            <w:shd w:fill="4B0983"/>
            <w:tcMar>
              <w:top w:w="90" w:type="dxa"/>
              <w:start w:w="100" w:type="dxa"/>
              <w:bottom w:w="90" w:type="dxa"/>
              <w:end w:w="100" w:type="dxa"/>
            </w:tcMar>
            <w:vAlign w:val="center"/>
          </w:tcPr>
          <w:p>
            <w:r>
              <w:rPr>
                <w:b/>
                <w:color w:val="FFFFFF"/>
              </w:rPr>
              <w:t>Mistake</w:t>
            </w:r>
          </w:p>
        </w:tc>
        <w:tc>
          <w:tcPr>
            <w:tcW w:type="dxa" w:w="4939"/>
            <w:shd w:fill="4B0983"/>
            <w:tcMar>
              <w:top w:w="90" w:type="dxa"/>
              <w:start w:w="100" w:type="dxa"/>
              <w:bottom w:w="90" w:type="dxa"/>
              <w:end w:w="100" w:type="dxa"/>
            </w:tcMar>
            <w:vAlign w:val="center"/>
          </w:tcPr>
          <w:p>
            <w:r>
              <w:rPr>
                <w:b/>
                <w:color w:val="FFFFFF"/>
              </w:rPr>
              <w:t>Why it matters</w:t>
            </w:r>
          </w:p>
        </w:tc>
      </w:tr>
      <w:tr>
        <w:trPr>
          <w:cantSplit/>
        </w:trPr>
        <w:tc>
          <w:tcPr>
            <w:tcW w:type="dxa" w:w="4939"/>
            <w:tcMar>
              <w:top w:w="90" w:type="dxa"/>
              <w:start w:w="100" w:type="dxa"/>
              <w:bottom w:w="90" w:type="dxa"/>
              <w:end w:w="100" w:type="dxa"/>
            </w:tcMar>
            <w:vAlign w:val="top"/>
          </w:tcPr>
          <w:p>
            <w:r>
              <w:t>Treating Microsoft as one all-or-nothing capability</w:t>
            </w:r>
          </w:p>
        </w:tc>
        <w:tc>
          <w:tcPr>
            <w:tcW w:type="dxa" w:w="4939"/>
            <w:tcMar>
              <w:top w:w="90" w:type="dxa"/>
              <w:start w:w="100" w:type="dxa"/>
              <w:bottom w:w="90" w:type="dxa"/>
              <w:end w:w="100" w:type="dxa"/>
            </w:tcMar>
            <w:vAlign w:val="top"/>
          </w:tcPr>
          <w:p>
            <w:r>
              <w:t>Microsoft is one shared connection with independently enabled capabilities. A licence-dependent Intune or Defender failure must not invalidate Entra, M365 Security or Azure.</w:t>
            </w:r>
          </w:p>
        </w:tc>
      </w:tr>
      <w:tr>
        <w:trPr>
          <w:cantSplit/>
        </w:trPr>
        <w:tc>
          <w:tcPr>
            <w:tcW w:type="dxa" w:w="4939"/>
            <w:tcMar>
              <w:top w:w="90" w:type="dxa"/>
              <w:start w:w="100" w:type="dxa"/>
              <w:bottom w:w="90" w:type="dxa"/>
              <w:end w:w="100" w:type="dxa"/>
            </w:tcMar>
            <w:vAlign w:val="top"/>
          </w:tcPr>
          <w:p>
            <w:pPr>
              <w:spacing w:after="0"/>
            </w:pPr>
            <w:r>
              <w:t>Creating separate Microsoft providers</w:t>
            </w:r>
          </w:p>
        </w:tc>
        <w:tc>
          <w:tcPr>
            <w:tcW w:type="dxa" w:w="4939"/>
            <w:tcMar>
              <w:top w:w="90" w:type="dxa"/>
              <w:start w:w="100" w:type="dxa"/>
              <w:bottom w:w="90" w:type="dxa"/>
              <w:end w:w="100" w:type="dxa"/>
            </w:tcMar>
            <w:vAlign w:val="top"/>
          </w:tcPr>
          <w:p>
            <w:pPr>
              <w:spacing w:after="0"/>
            </w:pPr>
            <w:r>
              <w:t>Fragments credentials and breaks the shared Microsoft tenant model. Add capabilities under provider=microsoft.</w:t>
            </w:r>
          </w:p>
        </w:tc>
      </w:tr>
      <w:tr>
        <w:trPr>
          <w:cantSplit/>
        </w:trPr>
        <w:tc>
          <w:tcPr>
            <w:tcW w:type="dxa" w:w="4939"/>
            <w:tcMar>
              <w:top w:w="90" w:type="dxa"/>
              <w:start w:w="100" w:type="dxa"/>
              <w:bottom w:w="90" w:type="dxa"/>
              <w:end w:w="100" w:type="dxa"/>
            </w:tcMar>
            <w:vAlign w:val="top"/>
          </w:tcPr>
          <w:p>
            <w:pPr>
              <w:spacing w:after="0"/>
            </w:pPr>
            <w:r>
              <w:t>Pointing services to asset_mgt runtime</w:t>
            </w:r>
          </w:p>
        </w:tc>
        <w:tc>
          <w:tcPr>
            <w:tcW w:type="dxa" w:w="4939"/>
            <w:tcMar>
              <w:top w:w="90" w:type="dxa"/>
              <w:start w:w="100" w:type="dxa"/>
              <w:bottom w:w="90" w:type="dxa"/>
              <w:end w:w="100" w:type="dxa"/>
            </w:tcMar>
            <w:vAlign w:val="top"/>
          </w:tcPr>
          <w:p>
            <w:pPr>
              <w:spacing w:after="0"/>
            </w:pPr>
            <w:r>
              <w:t>That runtime was retired; the canonical control plane is integration_management.</w:t>
            </w:r>
          </w:p>
        </w:tc>
      </w:tr>
      <w:tr>
        <w:trPr>
          <w:cantSplit/>
        </w:trPr>
        <w:tc>
          <w:tcPr>
            <w:tcW w:type="dxa" w:w="4939"/>
            <w:tcMar>
              <w:top w:w="90" w:type="dxa"/>
              <w:start w:w="100" w:type="dxa"/>
              <w:bottom w:w="90" w:type="dxa"/>
              <w:end w:w="100" w:type="dxa"/>
            </w:tcMar>
            <w:vAlign w:val="top"/>
          </w:tcPr>
          <w:p>
            <w:pPr>
              <w:spacing w:after="0"/>
            </w:pPr>
            <w:r>
              <w:t>Making optional Microsoft APIs blocking</w:t>
            </w:r>
          </w:p>
        </w:tc>
        <w:tc>
          <w:tcPr>
            <w:tcW w:type="dxa" w:w="4939"/>
            <w:tcMar>
              <w:top w:w="90" w:type="dxa"/>
              <w:start w:w="100" w:type="dxa"/>
              <w:bottom w:w="90" w:type="dxa"/>
              <w:end w:w="100" w:type="dxa"/>
            </w:tcMar>
            <w:vAlign w:val="top"/>
          </w:tcPr>
          <w:p>
            <w:pPr>
              <w:spacing w:after="0"/>
            </w:pPr>
            <w:r>
              <w:t>Free/lower-licence tenants can still supply useful required evidence.</w:t>
            </w:r>
          </w:p>
        </w:tc>
      </w:tr>
      <w:tr>
        <w:trPr>
          <w:cantSplit/>
        </w:trPr>
        <w:tc>
          <w:tcPr>
            <w:tcW w:type="dxa" w:w="4939"/>
            <w:tcMar>
              <w:top w:w="90" w:type="dxa"/>
              <w:start w:w="100" w:type="dxa"/>
              <w:bottom w:w="90" w:type="dxa"/>
              <w:end w:w="100" w:type="dxa"/>
            </w:tcMar>
            <w:vAlign w:val="top"/>
          </w:tcPr>
          <w:p>
            <w:pPr>
              <w:spacing w:after="0"/>
            </w:pPr>
            <w:r>
              <w:t>Collecting evidence by framework</w:t>
            </w:r>
          </w:p>
        </w:tc>
        <w:tc>
          <w:tcPr>
            <w:tcW w:type="dxa" w:w="4939"/>
            <w:tcMar>
              <w:top w:w="90" w:type="dxa"/>
              <w:start w:w="100" w:type="dxa"/>
              <w:bottom w:w="90" w:type="dxa"/>
              <w:end w:w="100" w:type="dxa"/>
            </w:tcMar>
            <w:vAlign w:val="top"/>
          </w:tcPr>
          <w:p>
            <w:pPr>
              <w:spacing w:after="0"/>
            </w:pPr>
            <w:r>
              <w:t>Duplicates collection and conflicts with canonical Control reuse.</w:t>
            </w:r>
          </w:p>
        </w:tc>
      </w:tr>
      <w:tr>
        <w:trPr>
          <w:cantSplit/>
        </w:trPr>
        <w:tc>
          <w:tcPr>
            <w:tcW w:type="dxa" w:w="4939"/>
            <w:tcMar>
              <w:top w:w="90" w:type="dxa"/>
              <w:start w:w="100" w:type="dxa"/>
              <w:bottom w:w="90" w:type="dxa"/>
              <w:end w:w="100" w:type="dxa"/>
            </w:tcMar>
            <w:vAlign w:val="top"/>
          </w:tcPr>
          <w:p>
            <w:pPr>
              <w:spacing w:after="0"/>
            </w:pPr>
            <w:r>
              <w:t>Auto-adopting Controls</w:t>
            </w:r>
          </w:p>
        </w:tc>
        <w:tc>
          <w:tcPr>
            <w:tcW w:type="dxa" w:w="4939"/>
            <w:tcMar>
              <w:top w:w="90" w:type="dxa"/>
              <w:start w:w="100" w:type="dxa"/>
              <w:bottom w:w="90" w:type="dxa"/>
              <w:end w:w="100" w:type="dxa"/>
            </w:tcMar>
            <w:vAlign w:val="top"/>
          </w:tcPr>
          <w:p>
            <w:pPr>
              <w:spacing w:after="0"/>
            </w:pPr>
            <w:r>
              <w:t>Integration availability does not mean the organisation has adopted or implemented the Control.</w:t>
            </w:r>
          </w:p>
        </w:tc>
      </w:tr>
      <w:tr>
        <w:trPr>
          <w:cantSplit/>
        </w:trPr>
        <w:tc>
          <w:tcPr>
            <w:tcW w:type="dxa" w:w="4939"/>
            <w:tcMar>
              <w:top w:w="90" w:type="dxa"/>
              <w:start w:w="100" w:type="dxa"/>
              <w:bottom w:w="90" w:type="dxa"/>
              <w:end w:w="100" w:type="dxa"/>
            </w:tcMar>
            <w:vAlign w:val="top"/>
          </w:tcPr>
          <w:p>
            <w:pPr>
              <w:spacing w:after="0"/>
            </w:pPr>
            <w:r>
              <w:t>Mixing local and UTC DB timestamps</w:t>
            </w:r>
          </w:p>
        </w:tc>
        <w:tc>
          <w:tcPr>
            <w:tcW w:type="dxa" w:w="4939"/>
            <w:tcMar>
              <w:top w:w="90" w:type="dxa"/>
              <w:start w:w="100" w:type="dxa"/>
              <w:bottom w:w="90" w:type="dxa"/>
              <w:end w:w="100" w:type="dxa"/>
            </w:tcMar>
            <w:vAlign w:val="top"/>
          </w:tcPr>
          <w:p>
            <w:pPr>
              <w:spacing w:after="0"/>
            </w:pPr>
            <w:r>
              <w:t>Creates scheduler/job/runtime drift and misleading UI times.</w:t>
            </w:r>
          </w:p>
        </w:tc>
      </w:tr>
    </w:tbl>
    <w:p>
      <w:pPr>
        <w:spacing w:after="20"/>
      </w:pPr>
    </w:p>
    <w:p>
      <w:pPr>
        <w:pStyle w:val="Heading1"/>
        <w:keepNext/>
      </w:pPr>
      <w:r>
        <w:t>13. First implementation checklist</w:t>
      </w:r>
    </w:p>
    <w:p>
      <w:pPr>
        <w:pStyle w:val="ListBullet"/>
        <w:spacing w:after="40"/>
      </w:pPr>
      <w:r>
        <w:t>Tenant Integration Management schema exists and is current.</w:t>
      </w:r>
    </w:p>
    <w:p>
      <w:pPr>
        <w:pStyle w:val="ListBullet"/>
        <w:spacing w:after="40"/>
      </w:pPr>
      <w:r>
        <w:t>Master key/secret bootstrap available to web and service runtimes.</w:t>
      </w:r>
    </w:p>
    <w:p>
      <w:pPr>
        <w:pStyle w:val="ListBullet"/>
        <w:spacing w:after="40"/>
      </w:pPr>
      <w:r>
        <w:t>Admin → Integrations accessible to authorised administrators.</w:t>
      </w:r>
    </w:p>
    <w:p>
      <w:pPr>
        <w:pStyle w:val="ListBullet"/>
        <w:spacing w:after="40"/>
      </w:pPr>
      <w:r>
        <w:t>Microsoft application permissions and admin consent reviewed.</w:t>
      </w:r>
    </w:p>
    <w:p>
      <w:pPr>
        <w:pStyle w:val="ListBullet"/>
        <w:spacing w:after="40"/>
      </w:pPr>
      <w:r>
        <w:t>Microsoft connection tested; required capabilities enabled and unavailable/unlicensed capabilities disabled without affecting the shared connection.</w:t>
      </w:r>
    </w:p>
    <w:p>
      <w:pPr>
        <w:pStyle w:val="ListBullet"/>
        <w:spacing w:after="40"/>
      </w:pPr>
      <w:r>
        <w:t>Qualys connection tested and vulnerability capability activated where required.</w:t>
      </w:r>
    </w:p>
    <w:p>
      <w:pPr>
        <w:pStyle w:val="ListBullet"/>
        <w:spacing w:after="40"/>
      </w:pPr>
      <w:r>
        <w:t>Canonical worker running persistently.</w:t>
      </w:r>
    </w:p>
    <w:p>
      <w:pPr>
        <w:pStyle w:val="ListBullet"/>
        <w:spacing w:after="40"/>
      </w:pPr>
      <w:r>
        <w:t>Canonical scheduler/timer running successfully.</w:t>
      </w:r>
    </w:p>
    <w:p>
      <w:pPr>
        <w:pStyle w:val="ListBullet"/>
        <w:spacing w:after="40"/>
      </w:pPr>
      <w:r>
        <w:t>Manual and scheduled execution both proven.</w:t>
      </w:r>
    </w:p>
    <w:p>
      <w:pPr>
        <w:pStyle w:val="ListBullet"/>
        <w:spacing w:after="40"/>
      </w:pPr>
      <w:r>
        <w:t>Observations/domain data verified.</w:t>
      </w:r>
    </w:p>
    <w:p>
      <w:pPr>
        <w:pStyle w:val="ListBullet"/>
        <w:spacing w:after="40"/>
      </w:pPr>
      <w:r>
        <w:t>Control automation/evidence verified against adopted Controls.</w:t>
      </w:r>
    </w:p>
    <w:p>
      <w:pPr>
        <w:pStyle w:val="ListBullet"/>
        <w:spacing w:after="40"/>
      </w:pPr>
      <w:r>
        <w:t>UTC timestamp behaviour verified.</w:t>
      </w:r>
    </w:p>
    <w:p>
      <w:pPr>
        <w:pStyle w:val="ListBullet"/>
        <w:spacing w:after="40"/>
      </w:pPr>
      <w:r>
        <w:t>Legacy Asset Management control-plane references absent.</w:t>
      </w:r>
    </w:p>
    <w:p>
      <w:pPr>
        <w:pStyle w:val="ListBullet"/>
        <w:spacing w:after="40"/>
      </w:pPr>
      <w:r>
        <w:t>Credential expiry/rotation ownership recorded.</w:t>
      </w:r>
    </w:p>
    <w:p>
      <w:pPr>
        <w:pStyle w:val="Heading1"/>
        <w:keepNext/>
      </w:pPr>
      <w:r>
        <w:t>14. Current scope and expansion roadmap</w:t>
      </w:r>
    </w:p>
    <w:tbl>
      <w:tblPr>
        <w:tblStyle w:val="TableGrid"/>
        <w:tblW w:type="auto" w:w="0"/>
        <w:jc w:val="center"/>
        <w:tblLook w:firstColumn="1" w:firstRow="1" w:lastColumn="0" w:lastRow="0" w:noHBand="0" w:noVBand="1" w:val="04A0"/>
      </w:tblPr>
      <w:tblGrid>
        <w:gridCol w:w="3293"/>
        <w:gridCol w:w="3293"/>
        <w:gridCol w:w="3293"/>
      </w:tblGrid>
      <w:tr>
        <w:trPr>
          <w:tblHeader w:val="true"/>
        </w:trPr>
        <w:tc>
          <w:tcPr>
            <w:tcW w:type="dxa" w:w="3293"/>
            <w:shd w:fill="4B0983"/>
            <w:tcMar>
              <w:top w:w="90" w:type="dxa"/>
              <w:start w:w="100" w:type="dxa"/>
              <w:bottom w:w="90" w:type="dxa"/>
              <w:end w:w="100" w:type="dxa"/>
            </w:tcMar>
            <w:vAlign w:val="center"/>
          </w:tcPr>
          <w:p>
            <w:r>
              <w:rPr>
                <w:b/>
                <w:color w:val="FFFFFF"/>
              </w:rPr>
              <w:t>Provider</w:t>
            </w:r>
          </w:p>
        </w:tc>
        <w:tc>
          <w:tcPr>
            <w:tcW w:type="dxa" w:w="3293"/>
            <w:shd w:fill="4B0983"/>
            <w:tcMar>
              <w:top w:w="90" w:type="dxa"/>
              <w:start w:w="100" w:type="dxa"/>
              <w:bottom w:w="90" w:type="dxa"/>
              <w:end w:w="100" w:type="dxa"/>
            </w:tcMar>
            <w:vAlign w:val="center"/>
          </w:tcPr>
          <w:p>
            <w:r>
              <w:rPr>
                <w:b/>
                <w:color w:val="FFFFFF"/>
              </w:rPr>
              <w:t>Capability</w:t>
            </w:r>
          </w:p>
        </w:tc>
        <w:tc>
          <w:tcPr>
            <w:tcW w:type="dxa" w:w="3293"/>
            <w:shd w:fill="4B0983"/>
            <w:tcMar>
              <w:top w:w="90" w:type="dxa"/>
              <w:start w:w="100" w:type="dxa"/>
              <w:bottom w:w="90" w:type="dxa"/>
              <w:end w:w="100" w:type="dxa"/>
            </w:tcMar>
            <w:vAlign w:val="center"/>
          </w:tcPr>
          <w:p>
            <w:r>
              <w:t>Status on 4 Oct 2026</w:t>
            </w:r>
          </w:p>
        </w:tc>
      </w:tr>
      <w:tr>
        <w:trPr>
          <w:cantSplit/>
        </w:trPr>
        <w:tc>
          <w:tcPr>
            <w:tcW w:type="dxa" w:w="3293"/>
            <w:tcMar>
              <w:top w:w="90" w:type="dxa"/>
              <w:start w:w="100" w:type="dxa"/>
              <w:bottom w:w="90" w:type="dxa"/>
              <w:end w:w="100" w:type="dxa"/>
            </w:tcMar>
            <w:vAlign w:val="top"/>
          </w:tcPr>
          <w:p>
            <w:r>
              <w:t>Microsoft</w:t>
            </w:r>
          </w:p>
        </w:tc>
        <w:tc>
          <w:tcPr>
            <w:tcW w:type="dxa" w:w="3293"/>
            <w:tcMar>
              <w:top w:w="90" w:type="dxa"/>
              <w:start w:w="100" w:type="dxa"/>
              <w:bottom w:w="90" w:type="dxa"/>
              <w:end w:w="100" w:type="dxa"/>
            </w:tcMar>
            <w:vAlign w:val="top"/>
          </w:tcPr>
          <w:p>
            <w:r>
              <w:t>microsoft.entra_identity</w:t>
            </w:r>
          </w:p>
        </w:tc>
        <w:tc>
          <w:tcPr>
            <w:tcW w:type="dxa" w:w="3293"/>
            <w:tcMar>
              <w:top w:w="90" w:type="dxa"/>
              <w:start w:w="100" w:type="dxa"/>
              <w:bottom w:w="90" w:type="dxa"/>
              <w:end w:w="100" w:type="dxa"/>
            </w:tcMar>
            <w:vAlign w:val="top"/>
          </w:tcPr>
          <w:p>
            <w:r>
              <w:t>Complete and accepted.</w:t>
            </w:r>
          </w:p>
        </w:tc>
      </w:tr>
      <w:tr>
        <w:trPr>
          <w:cantSplit/>
        </w:trPr>
        <w:tc>
          <w:tcPr>
            <w:tcW w:type="dxa" w:w="3293"/>
            <w:tcMar>
              <w:top w:w="90" w:type="dxa"/>
              <w:start w:w="100" w:type="dxa"/>
              <w:bottom w:w="90" w:type="dxa"/>
              <w:end w:w="100" w:type="dxa"/>
            </w:tcMar>
            <w:vAlign w:val="top"/>
          </w:tcPr>
          <w:p>
            <w:r>
              <w:t>Microsoft</w:t>
            </w:r>
          </w:p>
        </w:tc>
        <w:tc>
          <w:tcPr>
            <w:tcW w:type="dxa" w:w="3293"/>
            <w:tcMar>
              <w:top w:w="90" w:type="dxa"/>
              <w:start w:w="100" w:type="dxa"/>
              <w:bottom w:w="90" w:type="dxa"/>
              <w:end w:w="100" w:type="dxa"/>
            </w:tcMar>
            <w:vAlign w:val="top"/>
          </w:tcPr>
          <w:p>
            <w:r>
              <w:t>microsoft.intune_devices</w:t>
            </w:r>
          </w:p>
        </w:tc>
        <w:tc>
          <w:tcPr>
            <w:tcW w:type="dxa" w:w="3293"/>
            <w:tcMar>
              <w:top w:w="90" w:type="dxa"/>
              <w:start w:w="100" w:type="dxa"/>
              <w:bottom w:w="90" w:type="dxa"/>
              <w:end w:w="100" w:type="dxa"/>
            </w:tcMar>
            <w:vAlign w:val="top"/>
          </w:tcPr>
          <w:p>
            <w:r>
              <w:t>Implemented; licensed-tenant acceptance pending.</w:t>
            </w:r>
          </w:p>
        </w:tc>
      </w:tr>
      <w:tr>
        <w:trPr>
          <w:cantSplit/>
        </w:trPr>
        <w:tc>
          <w:tcPr>
            <w:tcW w:type="dxa" w:w="3293"/>
            <w:tcMar>
              <w:top w:w="90" w:type="dxa"/>
              <w:start w:w="100" w:type="dxa"/>
              <w:bottom w:w="90" w:type="dxa"/>
              <w:end w:w="100" w:type="dxa"/>
            </w:tcMar>
            <w:vAlign w:val="top"/>
          </w:tcPr>
          <w:p>
            <w:r>
              <w:t>Microsoft</w:t>
            </w:r>
          </w:p>
        </w:tc>
        <w:tc>
          <w:tcPr>
            <w:tcW w:type="dxa" w:w="3293"/>
            <w:tcMar>
              <w:top w:w="90" w:type="dxa"/>
              <w:start w:w="100" w:type="dxa"/>
              <w:bottom w:w="90" w:type="dxa"/>
              <w:end w:w="100" w:type="dxa"/>
            </w:tcMar>
            <w:vAlign w:val="top"/>
          </w:tcPr>
          <w:p>
            <w:r>
              <w:t>microsoft.defender_endpoint</w:t>
            </w:r>
          </w:p>
        </w:tc>
        <w:tc>
          <w:tcPr>
            <w:tcW w:type="dxa" w:w="3293"/>
            <w:tcMar>
              <w:top w:w="90" w:type="dxa"/>
              <w:start w:w="100" w:type="dxa"/>
              <w:bottom w:w="90" w:type="dxa"/>
              <w:end w:w="100" w:type="dxa"/>
            </w:tcMar>
            <w:vAlign w:val="top"/>
          </w:tcPr>
          <w:p>
            <w:r>
              <w:t>Implemented; licensed-tenant acceptance pending.</w:t>
            </w:r>
          </w:p>
        </w:tc>
      </w:tr>
      <w:tr>
        <w:trPr>
          <w:cantSplit/>
        </w:trPr>
        <w:tc>
          <w:tcPr>
            <w:tcW w:type="dxa" w:w="3293"/>
            <w:tcMar>
              <w:top w:w="90" w:type="dxa"/>
              <w:start w:w="100" w:type="dxa"/>
              <w:bottom w:w="90" w:type="dxa"/>
              <w:end w:w="100" w:type="dxa"/>
            </w:tcMar>
            <w:vAlign w:val="top"/>
          </w:tcPr>
          <w:p>
            <w:r>
              <w:t>Microsoft</w:t>
            </w:r>
          </w:p>
        </w:tc>
        <w:tc>
          <w:tcPr>
            <w:tcW w:type="dxa" w:w="3293"/>
            <w:tcMar>
              <w:top w:w="90" w:type="dxa"/>
              <w:start w:w="100" w:type="dxa"/>
              <w:bottom w:w="90" w:type="dxa"/>
              <w:end w:w="100" w:type="dxa"/>
            </w:tcMar>
            <w:vAlign w:val="top"/>
          </w:tcPr>
          <w:p>
            <w:r>
              <w:t>microsoft.m365_security</w:t>
            </w:r>
          </w:p>
        </w:tc>
        <w:tc>
          <w:tcPr>
            <w:tcW w:type="dxa" w:w="3293"/>
            <w:tcMar>
              <w:top w:w="90" w:type="dxa"/>
              <w:start w:w="100" w:type="dxa"/>
              <w:bottom w:w="90" w:type="dxa"/>
              <w:end w:w="100" w:type="dxa"/>
            </w:tcMar>
            <w:vAlign w:val="top"/>
          </w:tcPr>
          <w:p>
            <w:r>
              <w:t>Complete and accepted; tenant stream availability varies.</w:t>
            </w:r>
          </w:p>
        </w:tc>
      </w:tr>
      <w:tr>
        <w:trPr>
          <w:cantSplit/>
        </w:trPr>
        <w:tc>
          <w:tcPr>
            <w:tcW w:type="dxa" w:w="3293"/>
            <w:tcMar>
              <w:top w:w="90" w:type="dxa"/>
              <w:start w:w="100" w:type="dxa"/>
              <w:bottom w:w="90" w:type="dxa"/>
              <w:end w:w="100" w:type="dxa"/>
            </w:tcMar>
            <w:vAlign w:val="top"/>
          </w:tcPr>
          <w:p>
            <w:r>
              <w:t>Microsoft</w:t>
            </w:r>
          </w:p>
        </w:tc>
        <w:tc>
          <w:tcPr>
            <w:tcW w:type="dxa" w:w="3293"/>
            <w:tcMar>
              <w:top w:w="90" w:type="dxa"/>
              <w:start w:w="100" w:type="dxa"/>
              <w:bottom w:w="90" w:type="dxa"/>
              <w:end w:w="100" w:type="dxa"/>
            </w:tcMar>
            <w:vAlign w:val="top"/>
          </w:tcPr>
          <w:p>
            <w:r>
              <w:t>microsoft.azure_resources</w:t>
            </w:r>
          </w:p>
        </w:tc>
        <w:tc>
          <w:tcPr>
            <w:tcW w:type="dxa" w:w="3293"/>
            <w:tcMar>
              <w:top w:w="90" w:type="dxa"/>
              <w:start w:w="100" w:type="dxa"/>
              <w:bottom w:w="90" w:type="dxa"/>
              <w:end w:w="100" w:type="dxa"/>
            </w:tcMar>
            <w:vAlign w:val="top"/>
          </w:tcPr>
          <w:p>
            <w:r>
              <w:t>Complete and accepted; inventory depends on subscription RBAC.</w:t>
            </w:r>
          </w:p>
        </w:tc>
      </w:tr>
      <w:tr>
        <w:trPr>
          <w:cantSplit/>
        </w:trPr>
        <w:tc>
          <w:tcPr>
            <w:tcW w:type="dxa" w:w="3293"/>
            <w:tcMar>
              <w:top w:w="90" w:type="dxa"/>
              <w:start w:w="100" w:type="dxa"/>
              <w:bottom w:w="90" w:type="dxa"/>
              <w:end w:w="100" w:type="dxa"/>
            </w:tcMar>
            <w:vAlign w:val="top"/>
          </w:tcPr>
          <w:p>
            <w:r>
              <w:t>Qualys</w:t>
            </w:r>
          </w:p>
        </w:tc>
        <w:tc>
          <w:tcPr>
            <w:tcW w:type="dxa" w:w="3293"/>
            <w:tcMar>
              <w:top w:w="90" w:type="dxa"/>
              <w:start w:w="100" w:type="dxa"/>
              <w:bottom w:w="90" w:type="dxa"/>
              <w:end w:w="100" w:type="dxa"/>
            </w:tcMar>
            <w:vAlign w:val="top"/>
          </w:tcPr>
          <w:p>
            <w:r>
              <w:t>qualys.vulnerability_findings</w:t>
            </w:r>
          </w:p>
        </w:tc>
        <w:tc>
          <w:tcPr>
            <w:tcW w:type="dxa" w:w="3293"/>
            <w:tcMar>
              <w:top w:w="90" w:type="dxa"/>
              <w:start w:w="100" w:type="dxa"/>
              <w:bottom w:w="90" w:type="dxa"/>
              <w:end w:w="100" w:type="dxa"/>
            </w:tcMar>
            <w:vAlign w:val="top"/>
          </w:tcPr>
          <w:p>
            <w:r>
              <w:t>Complete.</w:t>
            </w:r>
          </w:p>
        </w:tc>
      </w:tr>
      <w:tr>
        <w:trPr>
          <w:cantSplit/>
        </w:trPr>
        <w:tc>
          <w:tcPr>
            <w:tcW w:type="dxa" w:w="3293"/>
            <w:tcMar>
              <w:top w:w="90" w:type="dxa"/>
              <w:start w:w="100" w:type="dxa"/>
              <w:bottom w:w="90" w:type="dxa"/>
              <w:end w:w="100" w:type="dxa"/>
            </w:tcMar>
            <w:vAlign w:val="top"/>
          </w:tcPr>
          <w:p>
            <w:r>
              <w:t>AWS</w:t>
            </w:r>
          </w:p>
        </w:tc>
        <w:tc>
          <w:tcPr>
            <w:tcW w:type="dxa" w:w="3293"/>
            <w:tcMar>
              <w:top w:w="90" w:type="dxa"/>
              <w:start w:w="100" w:type="dxa"/>
              <w:bottom w:w="90" w:type="dxa"/>
              <w:end w:w="100" w:type="dxa"/>
            </w:tcMar>
            <w:vAlign w:val="top"/>
          </w:tcPr>
          <w:p>
            <w:r>
              <w:t>Provider/capabilities</w:t>
            </w:r>
          </w:p>
        </w:tc>
        <w:tc>
          <w:tcPr>
            <w:tcW w:type="dxa" w:w="3293"/>
            <w:tcMar>
              <w:top w:w="90" w:type="dxa"/>
              <w:start w:w="100" w:type="dxa"/>
              <w:bottom w:w="90" w:type="dxa"/>
              <w:end w:w="100" w:type="dxa"/>
            </w:tcMar>
            <w:vAlign w:val="top"/>
          </w:tcPr>
          <w:p>
            <w:r>
              <w:t>Next provider: architecture/design.</w:t>
            </w:r>
          </w:p>
        </w:tc>
      </w:tr>
    </w:tbl>
    <w:p>
      <w:pPr>
        <w:spacing w:after="20"/>
      </w:pPr>
    </w:p>
    <w:p>
      <w:pPr>
        <w:spacing w:after="100"/>
      </w:pPr>
      <w:r>
        <w:t>Microsoft is complete as a shared multi-capability integration; Intune and Defender licensed-tenant acceptance remains outstanding. AWS is next and should use AssumeRole/external ID rather than long-lived customer access keys.</w:t>
      </w:r>
    </w:p>
    <w:sectPr w:rsidR="00FC693F" w:rsidRPr="0006063C" w:rsidSect="00034616">
      <w:headerReference w:type="default" r:id="rId9"/>
      <w:footerReference w:type="default" r:id="rId10"/>
      <w:pgSz w:w="12240" w:h="15840"/>
      <w:pgMar w:top="1080" w:right="1181" w:bottom="1008"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WSmall"/>
      <w:jc w:val="right"/>
    </w:pPr>
    <w: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WSmall"/>
      <w:jc w:val="right"/>
    </w:pPr>
    <w:r>
      <w:t>PurpleWASP  |  Integration Documentation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22222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4B0983"/>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2E203C"/>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4B0983"/>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rial" w:hAnsi="Arial"/>
      <w:b/>
      <w:color w:val="2E203C"/>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WSmall">
    <w:name w:val="PW Small"/>
    <w:rPr>
      <w:rFonts w:ascii="Arial" w:hAnsi="Arial"/>
      <w:color w:val="666666"/>
      <w:sz w:val="16"/>
    </w:rPr>
  </w:style>
  <w:style w:type="paragraph" w:customStyle="1" w:styleId="PWCallout">
    <w:name w:val="PW Callout"/>
    <w:rPr>
      <w:rFonts w:ascii="Arial" w:hAnsi="Arial"/>
      <w:b/>
      <w:color w:val="2E203C"/>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PurpleWASP</dc:creator>
  <cp:keywords/>
  <dc:description>PurpleWASP Integration Management documentation baseline 3 October 2026.</dc:description>
  <cp:lastModifiedBy/>
  <cp:revision>1</cp:revision>
  <dcterms:created xsi:type="dcterms:W3CDTF">2013-12-23T23:15:00Z</dcterms:created>
  <dcterms:modified xsi:type="dcterms:W3CDTF">2013-12-23T23:15:00Z</dcterms:modified>
  <cp:category/>
</cp:coreProperties>
</file>