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PurpleWASP Asset Management Technical Documentation</w:t>
      </w:r>
    </w:p>
    <w:p>
      <w:pPr>
        <w:pStyle w:val="Subtitle"/>
        <w:jc w:val="center"/>
      </w:pPr>
      <w:r>
        <w:t>Architecture, Taxonomy, Lifecycle, Provider Integrations, Technical Exposure, Risk and Control Integration, Security and Operations Reference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304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6912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Version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2.0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Date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21 September 2026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Status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Asset Management + vulnerability integration baseline documented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Application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PurpleWASP</w:t>
            </w:r>
          </w:p>
        </w:tc>
      </w:tr>
      <w:tr>
        <w:tc>
          <w:tcPr>
            <w:tcW w:type="dxa" w:w="2304"/>
            <w:vAlign w:val="center"/>
          </w:tcPr>
          <w:p>
            <w:r/>
            <w:r>
              <w:rPr>
                <w:b w:val="0"/>
                <w:sz w:val="17"/>
              </w:rPr>
              <w:t>Component</w:t>
            </w:r>
          </w:p>
        </w:tc>
        <w:tc>
          <w:tcPr>
            <w:tcW w:type="dxa" w:w="6912"/>
            <w:vAlign w:val="center"/>
          </w:tcPr>
          <w:p>
            <w:r/>
            <w:r>
              <w:rPr>
                <w:b w:val="0"/>
                <w:sz w:val="17"/>
              </w:rPr>
              <w:t>Asset Management</w:t>
            </w:r>
          </w:p>
        </w:tc>
      </w:tr>
    </w:tbl>
    <w:p/>
    <w:p>
      <w:r>
        <w:rPr>
          <w:b/>
        </w:rPr>
        <w:t xml:space="preserve">Purpose: </w:t>
      </w:r>
      <w:r>
        <w:t>This document is the technical architecture, data-model, provider-integration, vulnerability-evidence, workflow, security, cross-module integration, deployment and operations reference for PurpleWASP Asset Management.</w:t>
      </w:r>
    </w:p>
    <w:p>
      <w:r>
        <w:rPr>
          <w:b/>
        </w:rPr>
        <w:t xml:space="preserve">Scope note: </w:t>
      </w:r>
      <w:r>
        <w:t>This version extends the v1.0 baseline with the production-tested provider-neutral integration runtime, Qualys ingestion, global source-vulnerability catalogue, Asset vulnerability workspace, shared finding-detail view and Asset-to-Risk technical-evidence linkage.</w:t>
      </w:r>
    </w:p>
    <w:p>
      <w:r>
        <w:br w:type="page"/>
      </w:r>
    </w:p>
    <w:p>
      <w:pPr>
        <w:pStyle w:val="Heading1"/>
      </w:pPr>
      <w:r>
        <w:t>Contents</w:t>
      </w:r>
    </w:p>
    <w:p>
      <w:pPr>
        <w:spacing w:before="0" w:after="20" w:line="240" w:lineRule="auto"/>
      </w:pPr>
      <w:r>
        <w:rPr>
          <w:sz w:val="17"/>
        </w:rPr>
        <w:t>1. Purpose and Scope</w:t>
      </w:r>
    </w:p>
    <w:p>
      <w:pPr>
        <w:spacing w:before="0" w:after="20" w:line="240" w:lineRule="auto"/>
      </w:pPr>
      <w:r>
        <w:rPr>
          <w:sz w:val="17"/>
        </w:rPr>
        <w:t>2. Design Principles</w:t>
      </w:r>
    </w:p>
    <w:p>
      <w:pPr>
        <w:spacing w:before="0" w:after="20" w:line="240" w:lineRule="auto"/>
      </w:pPr>
      <w:r>
        <w:rPr>
          <w:sz w:val="17"/>
        </w:rPr>
        <w:t>3. High-Level Architecture</w:t>
      </w:r>
    </w:p>
    <w:p>
      <w:pPr>
        <w:spacing w:before="0" w:after="20" w:line="240" w:lineRule="auto"/>
      </w:pPr>
      <w:r>
        <w:rPr>
          <w:sz w:val="17"/>
        </w:rPr>
        <w:t>4. Directory and File Layout</w:t>
      </w:r>
    </w:p>
    <w:p>
      <w:pPr>
        <w:spacing w:before="0" w:after="20" w:line="240" w:lineRule="auto"/>
      </w:pPr>
      <w:r>
        <w:rPr>
          <w:sz w:val="17"/>
        </w:rPr>
        <w:t>5. Core Asset Data Model</w:t>
      </w:r>
    </w:p>
    <w:p>
      <w:pPr>
        <w:spacing w:before="0" w:after="20" w:line="240" w:lineRule="auto"/>
      </w:pPr>
      <w:r>
        <w:rPr>
          <w:sz w:val="17"/>
        </w:rPr>
        <w:t>6. Provider Integration Data Model</w:t>
      </w:r>
    </w:p>
    <w:p>
      <w:pPr>
        <w:spacing w:before="0" w:after="20" w:line="240" w:lineRule="auto"/>
      </w:pPr>
      <w:r>
        <w:rPr>
          <w:sz w:val="17"/>
        </w:rPr>
        <w:t>7. Taxonomy Architecture</w:t>
      </w:r>
    </w:p>
    <w:p>
      <w:pPr>
        <w:spacing w:before="0" w:after="20" w:line="240" w:lineRule="auto"/>
      </w:pPr>
      <w:r>
        <w:rPr>
          <w:sz w:val="17"/>
        </w:rPr>
        <w:t>8. Asset Register and Details Workspace</w:t>
      </w:r>
    </w:p>
    <w:p>
      <w:pPr>
        <w:spacing w:before="0" w:after="20" w:line="240" w:lineRule="auto"/>
      </w:pPr>
      <w:r>
        <w:rPr>
          <w:sz w:val="17"/>
        </w:rPr>
        <w:t>9. Asset Creation, Update, Copy and Deletion</w:t>
      </w:r>
    </w:p>
    <w:p>
      <w:pPr>
        <w:spacing w:before="0" w:after="20" w:line="240" w:lineRule="auto"/>
      </w:pPr>
      <w:r>
        <w:rPr>
          <w:sz w:val="17"/>
        </w:rPr>
        <w:t>10. Lifecycle Management</w:t>
      </w:r>
    </w:p>
    <w:p>
      <w:pPr>
        <w:spacing w:before="0" w:after="20" w:line="240" w:lineRule="auto"/>
      </w:pPr>
      <w:r>
        <w:rPr>
          <w:sz w:val="17"/>
        </w:rPr>
        <w:t>11. CIA, Asset Value and Criticality</w:t>
      </w:r>
    </w:p>
    <w:p>
      <w:pPr>
        <w:spacing w:before="0" w:after="20" w:line="240" w:lineRule="auto"/>
      </w:pPr>
      <w:r>
        <w:rPr>
          <w:sz w:val="17"/>
        </w:rPr>
        <w:t>12. Tags and Tag-Driven Behaviour</w:t>
      </w:r>
    </w:p>
    <w:p>
      <w:pPr>
        <w:spacing w:before="0" w:after="20" w:line="240" w:lineRule="auto"/>
      </w:pPr>
      <w:r>
        <w:rPr>
          <w:sz w:val="17"/>
        </w:rPr>
        <w:t>13. Risk Trigger Policy and Reassessment Scheduling</w:t>
      </w:r>
    </w:p>
    <w:p>
      <w:pPr>
        <w:spacing w:before="0" w:after="20" w:line="240" w:lineRule="auto"/>
      </w:pPr>
      <w:r>
        <w:rPr>
          <w:sz w:val="17"/>
        </w:rPr>
        <w:t>14. Risk Management Integration</w:t>
      </w:r>
    </w:p>
    <w:p>
      <w:pPr>
        <w:spacing w:before="0" w:after="20" w:line="240" w:lineRule="auto"/>
      </w:pPr>
      <w:r>
        <w:rPr>
          <w:sz w:val="17"/>
        </w:rPr>
        <w:t>15. Control Management Integration</w:t>
      </w:r>
    </w:p>
    <w:p>
      <w:pPr>
        <w:spacing w:before="0" w:after="20" w:line="240" w:lineRule="auto"/>
      </w:pPr>
      <w:r>
        <w:rPr>
          <w:sz w:val="17"/>
        </w:rPr>
        <w:t>16. Asset Import and Inventory Synchronisation</w:t>
      </w:r>
    </w:p>
    <w:p>
      <w:pPr>
        <w:spacing w:before="0" w:after="20" w:line="240" w:lineRule="auto"/>
      </w:pPr>
      <w:r>
        <w:rPr>
          <w:sz w:val="17"/>
        </w:rPr>
        <w:t>17. Provider Integration Runtime Architecture</w:t>
      </w:r>
    </w:p>
    <w:p>
      <w:pPr>
        <w:spacing w:before="0" w:after="20" w:line="240" w:lineRule="auto"/>
      </w:pPr>
      <w:r>
        <w:rPr>
          <w:sz w:val="17"/>
        </w:rPr>
        <w:t>18. Qualys Provider Implementation</w:t>
      </w:r>
    </w:p>
    <w:p>
      <w:pPr>
        <w:spacing w:before="0" w:after="20" w:line="240" w:lineRule="auto"/>
      </w:pPr>
      <w:r>
        <w:rPr>
          <w:sz w:val="17"/>
        </w:rPr>
        <w:t>19. Vulnerability and Exposure Architecture</w:t>
      </w:r>
    </w:p>
    <w:p>
      <w:pPr>
        <w:spacing w:before="0" w:after="20" w:line="240" w:lineRule="auto"/>
      </w:pPr>
      <w:r>
        <w:rPr>
          <w:sz w:val="17"/>
        </w:rPr>
        <w:t>20. Technical Finding Details and Evidence</w:t>
      </w:r>
    </w:p>
    <w:p>
      <w:pPr>
        <w:spacing w:before="0" w:after="20" w:line="240" w:lineRule="auto"/>
      </w:pPr>
      <w:r>
        <w:rPr>
          <w:sz w:val="17"/>
        </w:rPr>
        <w:t>21. Asset-to-Risk Technical Evidence Workflow</w:t>
      </w:r>
    </w:p>
    <w:p>
      <w:pPr>
        <w:spacing w:before="0" w:after="20" w:line="240" w:lineRule="auto"/>
      </w:pPr>
      <w:r>
        <w:rPr>
          <w:sz w:val="17"/>
        </w:rPr>
        <w:t>22. Dashboard, Search, Filtering and Export</w:t>
      </w:r>
    </w:p>
    <w:p>
      <w:pPr>
        <w:spacing w:before="0" w:after="20" w:line="240" w:lineRule="auto"/>
      </w:pPr>
      <w:r>
        <w:rPr>
          <w:sz w:val="17"/>
        </w:rPr>
        <w:t>23. Vendor and Third-Party Context</w:t>
      </w:r>
    </w:p>
    <w:p>
      <w:pPr>
        <w:spacing w:before="0" w:after="20" w:line="240" w:lineRule="auto"/>
      </w:pPr>
      <w:r>
        <w:rPr>
          <w:sz w:val="17"/>
        </w:rPr>
        <w:t>24. Permissions and Authorisation</w:t>
      </w:r>
    </w:p>
    <w:p>
      <w:pPr>
        <w:spacing w:before="0" w:after="20" w:line="240" w:lineRule="auto"/>
      </w:pPr>
      <w:r>
        <w:rPr>
          <w:sz w:val="17"/>
        </w:rPr>
        <w:t>25. Security Controls and Trust Boundaries</w:t>
      </w:r>
    </w:p>
    <w:p>
      <w:pPr>
        <w:spacing w:before="0" w:after="20" w:line="240" w:lineRule="auto"/>
      </w:pPr>
      <w:r>
        <w:rPr>
          <w:sz w:val="17"/>
        </w:rPr>
        <w:t>26. Audit Logging and Data Integrity</w:t>
      </w:r>
    </w:p>
    <w:p>
      <w:pPr>
        <w:spacing w:before="0" w:after="20" w:line="240" w:lineRule="auto"/>
      </w:pPr>
      <w:r>
        <w:rPr>
          <w:sz w:val="17"/>
        </w:rPr>
        <w:t>27. PurpAI Asset Copilot</w:t>
      </w:r>
    </w:p>
    <w:p>
      <w:pPr>
        <w:spacing w:before="0" w:after="20" w:line="240" w:lineRule="auto"/>
      </w:pPr>
      <w:r>
        <w:rPr>
          <w:sz w:val="17"/>
        </w:rPr>
        <w:t>28. Error Handling and Resilience</w:t>
      </w:r>
    </w:p>
    <w:p>
      <w:pPr>
        <w:spacing w:before="0" w:after="20" w:line="240" w:lineRule="auto"/>
      </w:pPr>
      <w:r>
        <w:rPr>
          <w:sz w:val="17"/>
        </w:rPr>
        <w:t>29. Current Deployment Inventory</w:t>
      </w:r>
    </w:p>
    <w:p>
      <w:pPr>
        <w:spacing w:before="0" w:after="20" w:line="240" w:lineRule="auto"/>
      </w:pPr>
      <w:r>
        <w:rPr>
          <w:sz w:val="17"/>
        </w:rPr>
        <w:t>30. Deployment and Change Procedure</w:t>
      </w:r>
    </w:p>
    <w:p>
      <w:pPr>
        <w:spacing w:before="0" w:after="20" w:line="240" w:lineRule="auto"/>
      </w:pPr>
      <w:r>
        <w:rPr>
          <w:sz w:val="17"/>
        </w:rPr>
        <w:t>31. Regression Test Suite</w:t>
      </w:r>
    </w:p>
    <w:p>
      <w:pPr>
        <w:spacing w:before="0" w:after="20" w:line="240" w:lineRule="auto"/>
      </w:pPr>
      <w:r>
        <w:rPr>
          <w:sz w:val="17"/>
        </w:rPr>
        <w:t>32. Troubleshooting Guide</w:t>
      </w:r>
    </w:p>
    <w:p>
      <w:pPr>
        <w:spacing w:before="0" w:after="20" w:line="240" w:lineRule="auto"/>
      </w:pPr>
      <w:r>
        <w:rPr>
          <w:sz w:val="17"/>
        </w:rPr>
        <w:t>33. Known Limitations and Implementation Notes</w:t>
      </w:r>
    </w:p>
    <w:p>
      <w:pPr>
        <w:spacing w:before="0" w:after="20" w:line="240" w:lineRule="auto"/>
      </w:pPr>
      <w:r>
        <w:rPr>
          <w:sz w:val="17"/>
        </w:rPr>
        <w:t>34. Maintenance Rules for Future Development</w:t>
      </w:r>
    </w:p>
    <w:p>
      <w:pPr>
        <w:spacing w:before="0" w:after="20" w:line="240" w:lineRule="auto"/>
      </w:pPr>
      <w:r>
        <w:rPr>
          <w:sz w:val="17"/>
        </w:rPr>
        <w:t>Appendix A. Database Inventory</w:t>
      </w:r>
    </w:p>
    <w:p>
      <w:pPr>
        <w:spacing w:before="0" w:after="20" w:line="240" w:lineRule="auto"/>
      </w:pPr>
      <w:r>
        <w:rPr>
          <w:sz w:val="17"/>
        </w:rPr>
        <w:t>Appendix B. Endpoint and Permission Matrix</w:t>
      </w:r>
    </w:p>
    <w:p>
      <w:pPr>
        <w:spacing w:before="0" w:after="20" w:line="240" w:lineRule="auto"/>
      </w:pPr>
      <w:r>
        <w:rPr>
          <w:sz w:val="17"/>
        </w:rPr>
        <w:t>Appendix C. Integration and Finding Lifecycle</w:t>
      </w:r>
    </w:p>
    <w:p>
      <w:pPr>
        <w:spacing w:before="0" w:after="20" w:line="240" w:lineRule="auto"/>
      </w:pPr>
      <w:r>
        <w:rPr>
          <w:sz w:val="17"/>
        </w:rPr>
        <w:t>Appendix D. Definition of Done for Asset Management v2.0</w:t>
      </w:r>
    </w:p>
    <w:p>
      <w:r>
        <w:br w:type="page"/>
      </w:r>
    </w:p>
    <w:p>
      <w:pPr>
        <w:pStyle w:val="Heading1"/>
      </w:pPr>
      <w:r>
        <w:t>1. Purpose and Scope</w:t>
      </w:r>
    </w:p>
    <w:p>
      <w:r>
        <w:t>Asset Management is the PurpleWASP system of record for organisation Assets and the authoritative source for Asset identity, taxonomy, CIA/value, ownership, lifecycle, tags and Asset-level operational context. Version 2.0 additionally treats connected technical observations as Asset evidence while preserving Risk Management as the authority for business Risk decisions.</w:t>
      </w:r>
    </w:p>
    <w:p>
      <w:pPr>
        <w:pStyle w:val="ListBullet"/>
      </w:pPr>
      <w:r>
        <w:t>Asset Register, classification, lifecycle and CIA/value.</w:t>
      </w:r>
    </w:p>
    <w:p>
      <w:pPr>
        <w:pStyle w:val="ListBullet"/>
      </w:pPr>
      <w:r>
        <w:t>Control applicability and Asset-level implementation context.</w:t>
      </w:r>
    </w:p>
    <w:p>
      <w:pPr>
        <w:pStyle w:val="ListBullet"/>
      </w:pPr>
      <w:r>
        <w:t>Risk orchestration, assessment triggers and review cadence.</w:t>
      </w:r>
    </w:p>
    <w:p>
      <w:pPr>
        <w:pStyle w:val="ListBullet"/>
      </w:pPr>
      <w:r>
        <w:t>Provider-neutral integration configuration, jobs, runs, sync state and imported Assets/findings.</w:t>
      </w:r>
    </w:p>
    <w:p>
      <w:pPr>
        <w:pStyle w:val="ListBullet"/>
      </w:pPr>
      <w:r>
        <w:t>Qualys host/detection ingestion and global QID/CVE enrichment.</w:t>
      </w:r>
    </w:p>
    <w:p>
      <w:pPr>
        <w:pStyle w:val="ListBullet"/>
      </w:pPr>
      <w:r>
        <w:t>Vulnerability grouping, details, evidence/history and Asset-to-Risk linkage.</w:t>
      </w:r>
    </w:p>
    <w:p>
      <w:pPr>
        <w:pStyle w:val="ListBullet"/>
      </w:pPr>
      <w:r>
        <w:t>Import, audit, permissions, PurpAI and deployment operations.</w:t>
      </w:r>
    </w:p>
    <w:p>
      <w:pPr>
        <w:pStyle w:val="Heading1"/>
      </w:pPr>
      <w:r>
        <w:t>2. Design Principles</w:t>
      </w:r>
    </w:p>
    <w:p>
      <w:pPr>
        <w:ind w:left="216"/>
      </w:pPr>
      <w:r>
        <w:rPr>
          <w:b/>
        </w:rPr>
        <w:t xml:space="preserve">1. </w:t>
      </w:r>
      <w:r>
        <w:t>Source-qualified taxonomy remains authoritative through asset_type_source + asset_type_id.</w:t>
      </w:r>
    </w:p>
    <w:p>
      <w:pPr>
        <w:ind w:left="216"/>
      </w:pPr>
      <w:r>
        <w:rPr>
          <w:b/>
        </w:rPr>
        <w:t xml:space="preserve">2. </w:t>
      </w:r>
      <w:r>
        <w:t>Asset CIA/value, criticality and lifecycle remain Asset-owned; connected modules consume them rather than duplicating authority.</w:t>
      </w:r>
    </w:p>
    <w:p>
      <w:pPr>
        <w:ind w:left="216"/>
      </w:pPr>
      <w:r>
        <w:rPr>
          <w:b/>
        </w:rPr>
        <w:t xml:space="preserve">3. </w:t>
      </w:r>
      <w:r>
        <w:t>Provider adapters normalise external records before tenant writes. Provider-specific IDs are stored in external_* / source_* fields rather than added as vendor-specific columns.</w:t>
      </w:r>
    </w:p>
    <w:p>
      <w:pPr>
        <w:ind w:left="216"/>
      </w:pPr>
      <w:r>
        <w:rPr>
          <w:b/>
        </w:rPr>
        <w:t xml:space="preserve">4. </w:t>
      </w:r>
      <w:r>
        <w:t>Only Assets with relevant findings need to be materialised from vulnerability providers; importing every provider host is not required for the vulnerability workflow.</w:t>
      </w:r>
    </w:p>
    <w:p>
      <w:pPr>
        <w:ind w:left="216"/>
      </w:pPr>
      <w:r>
        <w:rPr>
          <w:b/>
        </w:rPr>
        <w:t xml:space="preserve">5. </w:t>
      </w:r>
      <w:r>
        <w:t>Technical findings are evidence, not automatic business Risks. The user links selected evidence to a Risk or creates a normal Risk from selected groups.</w:t>
      </w:r>
    </w:p>
    <w:p>
      <w:pPr>
        <w:ind w:left="216"/>
      </w:pPr>
      <w:r>
        <w:rPr>
          <w:b/>
        </w:rPr>
        <w:t xml:space="preserve">6. </w:t>
      </w:r>
      <w:r>
        <w:t>The tenant finding remains usable even when global catalogue/CVE enrichment is incomplete; source_vulnerability_id is nullable.</w:t>
      </w:r>
    </w:p>
    <w:p>
      <w:pPr>
        <w:ind w:left="216"/>
      </w:pPr>
      <w:r>
        <w:rPr>
          <w:b/>
        </w:rPr>
        <w:t xml:space="preserve">7. </w:t>
      </w:r>
      <w:r>
        <w:t>Global source-vulnerability definitions live centrally in intel_core; tenant observations/history/evidence remain tenant-local.</w:t>
      </w:r>
    </w:p>
    <w:p>
      <w:pPr>
        <w:ind w:left="216"/>
      </w:pPr>
      <w:r>
        <w:rPr>
          <w:b/>
        </w:rPr>
        <w:t xml:space="preserve">8. </w:t>
      </w:r>
      <w:r>
        <w:t>Browser actions queue integration work. Provider API traffic belongs in the worker/runtime, not in the browser request.</w:t>
      </w:r>
    </w:p>
    <w:p>
      <w:pPr>
        <w:ind w:left="216"/>
      </w:pPr>
      <w:r>
        <w:rPr>
          <w:b/>
        </w:rPr>
        <w:t xml:space="preserve">9. </w:t>
      </w:r>
      <w:r>
        <w:t>Credentials are encrypted at rest and production TLS verification remains enabled.</w:t>
      </w:r>
    </w:p>
    <w:p>
      <w:pPr>
        <w:ind w:left="216"/>
      </w:pPr>
      <w:r>
        <w:rPr>
          <w:b/>
        </w:rPr>
        <w:t xml:space="preserve">10. </w:t>
      </w:r>
      <w:r>
        <w:t>Completed Risk assessment history must not be rewritten when the provider later changes a finding status.</w:t>
      </w:r>
    </w:p>
    <w:p>
      <w:pPr>
        <w:pStyle w:val="Heading1"/>
      </w:pPr>
      <w:r>
        <w:t>3. High-Level Architecture</w:t>
      </w:r>
    </w:p>
    <w:p>
      <w:pPr>
        <w:pStyle w:val="PWCode"/>
      </w:pPr>
      <w:r>
        <w:rPr>
          <w:rFonts w:ascii="Consolas" w:hAnsi="Consolas"/>
          <w:sz w:val="16"/>
        </w:rPr>
        <w:t>Authenticated Browser</w:t>
        <w:br/>
        <w:t xml:space="preserve">  -&gt; Asset Register / Integration Admin</w:t>
        <w:br/>
        <w:t xml:space="preserve">  -&gt; tenant Asset Management database</w:t>
        <w:br/>
        <w:br/>
        <w:t>Integration Admin -&gt; integration_jobs -&gt; persistent Integration Worker -&gt; provider adapter/importer</w:t>
        <w:br/>
        <w:t xml:space="preserve">                                        -&gt; tenant Assets + findings/history/evidence</w:t>
        <w:br/>
        <w:t xml:space="preserve">                                        -&gt; global intel catalogue is read-only during tenant ingest</w:t>
        <w:br/>
        <w:br/>
        <w:t>Asset Vulnerability Workspace -&gt; technical finding details -&gt; Risk Management risk_finding_map</w:t>
      </w:r>
    </w:p>
    <w:p>
      <w:r>
        <w:t>The runtime is split between public web endpoints and protected PHP code. Windows development supervision uses Task Scheduler; Linux production uses a persistent systemd worker plus a systemd timer/oneshot scheduler. The same PHP runtime code is used across operating systems.</w:t>
      </w:r>
    </w:p>
    <w:p>
      <w:pPr>
        <w:pStyle w:val="Heading1"/>
      </w:pPr>
      <w:r>
        <w:t>4. Directory and File Layout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File / path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/asset_management/asset_register.php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Primary register and current Asset details workspace bootstrap.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/asset_management/assets/05_get_asset_details.php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Server-authoritative Asset details, CIA, lifecycle, controls, risk context and vulnerability workspace mount.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/asset_management/assets/asset_vulnerability_workspace_api.php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Grouped/filtered finding list, Risk linkage context and Asset vulnerability workspace API.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/asset_management/assets/get_finding_detail.php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Shared technical-finding detail endpoint.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/asset_management/assets/_finding_detail_common.php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Provider-neutral finding/catalogue/evidence/history assembly.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/asset_management/assets/js/asset_vulnerability_workspace_v2.js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Vulnerability workspace UI, filters, Details and Link/Create Risk actions.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/asset_management/assets/js/technical_finding_details.js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Reusable technical-finding details modal.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/asset_management/assets/get_integration_overview.php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Read-only integration summary/history.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/asset_management/assets/get_integration_runtime_status.php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Runtime heartbeat/transport status for the integration panel.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/asset_management/assets/run_integration.php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Queues a manual integration job; does not run provider APIs synchronously.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/asset_management/assets/save_integration.php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Persists configuration and encrypts submitted secrets.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/protected asset_mgt/IntegrationRuntime.php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Integration runtime orchestration outside the public web root.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/protected asset_mgt/IntegrationTenantWorker.php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Tenant discovery/queue worker path.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/protected asset_mgt/integration_worker.php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Persistent worker entry point.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/protected asset_mgt/cron_asset_integration_sync.php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Scheduler pass that queues due jobs.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/protected asset_mgt/vulnerability_integration/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 adapters/importers/normalisers.</w:t>
            </w:r>
          </w:p>
        </w:tc>
      </w:tr>
    </w:tbl>
    <w:p/>
    <w:p>
      <w:pPr>
        <w:pStyle w:val="Heading1"/>
      </w:pPr>
      <w:r>
        <w:t>5. Core Asset Data Model</w:t>
      </w:r>
    </w:p>
    <w:p>
      <w:r>
        <w:t>The assets table remains the top-level Asset record. Version 2.0 does not move scanner-specific fields into the core Asset row; provider identity and observations stay in the integration tables.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Domain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Representative fields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Identity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asset_id, asset_name, identity_key, serial_number, product_no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Taxonomy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asset_category_source, asset_type_source, asset_type_id, asset_criticality_id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Ownership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asset_owner, asset_custodian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Network/location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location, location_of_asset, ip_address, mac_address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Lifecycle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asset_status, status_reason, lifecycle dates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CIA/value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confidentiality, integrity, availability, asset_value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 governance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risk_assess_required, risk_assess_status, risk_last_assessed_at, risk_next_review_due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Import/audit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import_batch, detected_by, created_at, updated_at, updated_by</w:t>
            </w:r>
          </w:p>
        </w:tc>
      </w:tr>
    </w:tbl>
    <w:p/>
    <w:p>
      <w:pPr>
        <w:pStyle w:val="Heading1"/>
      </w:pPr>
      <w:r>
        <w:t>6. Provider Integration Data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Table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Responsibility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 configuration, activation, scheduling and encrypted credentials.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integration_jobs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Queued/running/succeeded/failed work items.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asset_integration_runs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Execution history.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asset_integration_assets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 Asset identity mapped to PurpleWASP asset_id.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asset_integration_sync_state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Provider-specific incremental sync checkpoints.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asset_integration_run_metrics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Run counters and operational metrics.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Normalised current finding state.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asset_vulnerability_finding_history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Lifecycle transitions/history.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asset_vulnerability_finding_evidence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Evidence artefacts/observations attached to findings.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Logical reference rule: </w:t>
            </w:r>
            <w:r>
              <w:t>Risk Management may reference a finding across tenant databases, but no cross-database foreign key is created. Stable provider identity is retained alongside the numeric finding ID.</w:t>
            </w:r>
          </w:p>
        </w:tc>
      </w:tr>
    </w:tbl>
    <w:p/>
    <w:p>
      <w:pPr>
        <w:pStyle w:val="Heading1"/>
      </w:pPr>
      <w:r>
        <w:t>7. Taxonomy Architecture</w:t>
      </w:r>
    </w:p>
    <w:p>
      <w:r>
        <w:t>Global Asset Classes remain canonical. Global and organisation Category/Type namespaces coexist. The authoritative stored identity remains asset_type_source + asset_type_id, with category/class resolved server-side.</w:t>
      </w:r>
    </w:p>
    <w:p>
      <w:pPr>
        <w:pStyle w:val="Heading1"/>
      </w:pPr>
      <w:r>
        <w:t>8. Asset Register and Details Workspace</w:t>
      </w:r>
    </w:p>
    <w:p>
      <w:r>
        <w:t>The Asset details panel now presents a workspace rather than a single long panel. The left workspace has Overview, Controls, Vulnerabilities and Activity tabs; Risk Details remains visible as persistent context on the right.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Overview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Value, lifecycle, control and vulnerability posture summaries plus attention signals.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Controls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Applicable organisation Controls and per-Asset implementation.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Vulnerabilities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Grouped technical findings, filters, detail inspection and Risk linkage.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Activity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Lifecycle and Asset Risk-trigger activity; finding-specific history remains inside finding details.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 Details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Persistent Risk status, cadence and assessment context while navigating Asset tabs.</w:t>
            </w:r>
          </w:p>
        </w:tc>
      </w:tr>
    </w:tbl>
    <w:p/>
    <w:p>
      <w:pPr>
        <w:pStyle w:val="Heading1"/>
      </w:pPr>
      <w:r>
        <w:t>9. Asset Creation, Update, Copy and Deletion</w:t>
      </w:r>
    </w:p>
    <w:p>
      <w:pPr>
        <w:ind w:left="216"/>
      </w:pPr>
      <w:r>
        <w:rPr>
          <w:b/>
        </w:rPr>
        <w:t xml:space="preserve">1. </w:t>
      </w:r>
      <w:r>
        <w:t>Validate organisation session and capability.</w:t>
      </w:r>
    </w:p>
    <w:p>
      <w:pPr>
        <w:ind w:left="216"/>
      </w:pPr>
      <w:r>
        <w:rPr>
          <w:b/>
        </w:rPr>
        <w:t xml:space="preserve">2. </w:t>
      </w:r>
      <w:r>
        <w:t>Re-resolve taxonomy server-side.</w:t>
      </w:r>
    </w:p>
    <w:p>
      <w:pPr>
        <w:ind w:left="216"/>
      </w:pPr>
      <w:r>
        <w:rPr>
          <w:b/>
        </w:rPr>
        <w:t xml:space="preserve">3. </w:t>
      </w:r>
      <w:r>
        <w:t>Validate CIA and calculate asset_value.</w:t>
      </w:r>
    </w:p>
    <w:p>
      <w:pPr>
        <w:ind w:left="216"/>
      </w:pPr>
      <w:r>
        <w:rPr>
          <w:b/>
        </w:rPr>
        <w:t xml:space="preserve">4. </w:t>
      </w:r>
      <w:r>
        <w:t>Generate identity key.</w:t>
      </w:r>
    </w:p>
    <w:p>
      <w:pPr>
        <w:ind w:left="216"/>
      </w:pPr>
      <w:r>
        <w:rPr>
          <w:b/>
        </w:rPr>
        <w:t xml:space="preserve">5. </w:t>
      </w:r>
      <w:r>
        <w:t>Persist Asset/tags/risk policy in a transaction.</w:t>
      </w:r>
    </w:p>
    <w:p>
      <w:pPr>
        <w:ind w:left="216"/>
      </w:pPr>
      <w:r>
        <w:rPr>
          <w:b/>
        </w:rPr>
        <w:t xml:space="preserve">6. </w:t>
      </w:r>
      <w:r>
        <w:t>Audit bounded before/after business state.</w:t>
      </w:r>
    </w:p>
    <w:p>
      <w:r>
        <w:t>Permanent deletion remains distinct from retirement. Provider integration mappings/findings must be handled deliberately during any future hard-delete policy changes.</w:t>
      </w:r>
    </w:p>
    <w:p>
      <w:pPr>
        <w:pStyle w:val="Heading1"/>
      </w:pPr>
      <w:r>
        <w:t>10. Lifecycle Management</w:t>
      </w:r>
    </w:p>
    <w:p>
      <w:r>
        <w:t>Supported states remain planned -&gt; in_use -&gt; in_maintenance -&gt; end_of_life -&gt; retired. Retirement/restoration require stronger authority than normal lifecycle editing. Vulnerability findings have their own independent lifecycle and do not change Asset lifecycle automatically.</w:t>
      </w:r>
    </w:p>
    <w:p>
      <w:pPr>
        <w:pStyle w:val="Heading1"/>
      </w:pPr>
      <w:r>
        <w:t>11. CIA, Asset Value and Criticality</w:t>
      </w:r>
    </w:p>
    <w:p>
      <w:r>
        <w:t>CIA supports organisation maxima of 3 or 5. asset_value = C + I + A. Criticality is a separate managed tier. Scanner severity/CVSS must not overwrite Asset CIA or criticality automatically.</w:t>
      </w:r>
    </w:p>
    <w:p>
      <w:pPr>
        <w:pStyle w:val="Heading1"/>
      </w:pPr>
      <w:r>
        <w:t>12. Tags and Tag-Driven Behaviour</w:t>
      </w:r>
    </w:p>
    <w:p>
      <w:r>
        <w:t>Managed system/custom tags and free-form tags remain separate. Risk posture precedence remains Force &gt; Suppress &gt; Neutral. Integration-derived findings do not bypass tag risk-policy semantics.</w:t>
      </w:r>
    </w:p>
    <w:p>
      <w:pPr>
        <w:pStyle w:val="Heading1"/>
      </w:pPr>
      <w:r>
        <w:t>13. Risk Trigger Policy and Reassessment Scheduling</w:t>
      </w:r>
    </w:p>
    <w:p>
      <w:r>
        <w:t>Organisation risk-trigger rules continue to react to Asset events such as creation, CIA increase and tag change. Technical findings are linked into Risk through the vulnerability workflow rather than silently toggling a business Risk state. Future automated trigger policy may use technical-exposure thresholds, but that is not part of the current baseline.</w:t>
      </w:r>
    </w:p>
    <w:p>
      <w:pPr>
        <w:pStyle w:val="Heading1"/>
      </w:pPr>
      <w:r>
        <w:t>14. Risk Management Integration</w:t>
      </w:r>
    </w:p>
    <w:p>
      <w:r>
        <w:t>Asset Management maintains lightweight risk-orchestration state; Risk Management owns the Risk record and assessment. The vulnerability workspace can link findings to an active Risk even when its current assessment is completed/locked, so the evidence is available for the next reassessment. Archived, closed or pending-exception Risks remain restricted according to Risk rules.</w:t>
      </w:r>
    </w:p>
    <w:p>
      <w:pPr>
        <w:pStyle w:val="Heading1"/>
      </w:pPr>
      <w:r>
        <w:t>15. Control Management Integration</w:t>
      </w:r>
    </w:p>
    <w:p>
      <w:r>
        <w:t>Global recommendations, adopted organisation Controls and per-Asset implementation remain separate layers. Technical finding evidence does not automatically mark a Control ineffective; Risk and Control workflows remain human-governed.</w:t>
      </w:r>
    </w:p>
    <w:p>
      <w:pPr>
        <w:pStyle w:val="Heading1"/>
      </w:pPr>
      <w:r>
        <w:t>16. Asset Import and Inventory Synchronisation</w:t>
      </w:r>
    </w:p>
    <w:p>
      <w:r>
        <w:t>CSV/XLS/XLSX import remains separate from provider ingestion. File import is user-driven inventory synchronisation; provider integrations are queued API-driven ingestion. Both must preserve Asset identity and must not allow client-controlled system fields to become authority.</w:t>
      </w:r>
    </w:p>
    <w:p>
      <w:pPr>
        <w:pStyle w:val="Heading1"/>
      </w:pPr>
      <w:r>
        <w:t>17. Provider Integration Runtime Architecture</w:t>
      </w:r>
    </w:p>
    <w:p>
      <w:pPr>
        <w:ind w:left="216"/>
      </w:pPr>
      <w:r>
        <w:rPr>
          <w:b/>
        </w:rPr>
        <w:t xml:space="preserve">1. </w:t>
      </w:r>
      <w:r>
        <w:t>The scheduler discovers active organisations/integrations and queues due jobs.</w:t>
      </w:r>
    </w:p>
    <w:p>
      <w:pPr>
        <w:ind w:left="216"/>
      </w:pPr>
      <w:r>
        <w:rPr>
          <w:b/>
        </w:rPr>
        <w:t xml:space="preserve">2. </w:t>
      </w:r>
      <w:r>
        <w:t>The persistent worker claims jobs and loads the organisation-specific Asset database.</w:t>
      </w:r>
    </w:p>
    <w:p>
      <w:pPr>
        <w:ind w:left="216"/>
      </w:pPr>
      <w:r>
        <w:rPr>
          <w:b/>
        </w:rPr>
        <w:t xml:space="preserve">3. </w:t>
      </w:r>
      <w:r>
        <w:t>Stored integration secrets are decrypted only inside the runtime.</w:t>
      </w:r>
    </w:p>
    <w:p>
      <w:pPr>
        <w:ind w:left="216"/>
      </w:pPr>
      <w:r>
        <w:rPr>
          <w:b/>
        </w:rPr>
        <w:t xml:space="preserve">4. </w:t>
      </w:r>
      <w:r>
        <w:t>The provider executor calls the adapter/importer, which writes canonical tenant Assets/findings/history/evidence.</w:t>
      </w:r>
    </w:p>
    <w:p>
      <w:pPr>
        <w:ind w:left="216"/>
      </w:pPr>
      <w:r>
        <w:rPr>
          <w:b/>
        </w:rPr>
        <w:t xml:space="preserve">5. </w:t>
      </w:r>
      <w:r>
        <w:t>Heartbeat files expose worker/scheduler health to the Admin UI.</w:t>
      </w:r>
    </w:p>
    <w:p>
      <w:pPr>
        <w:ind w:left="216"/>
      </w:pPr>
      <w:r>
        <w:rPr>
          <w:b/>
        </w:rPr>
        <w:t xml:space="preserve">6. </w:t>
      </w:r>
      <w:r>
        <w:t>Linux production uses systemd service + timer; Windows development uses Task Scheduler supervision.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7E6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Production environment requirement: </w:t>
            </w:r>
            <w:r>
              <w:t>The systemd worker and scheduler must load the application environment file containing DB credentials. The integration master key remains in protected integration runtime configuration. Production TLS verification must remain enabled.</w:t>
            </w:r>
          </w:p>
        </w:tc>
      </w:tr>
    </w:tbl>
    <w:p/>
    <w:p>
      <w:pPr>
        <w:pStyle w:val="Heading1"/>
      </w:pPr>
      <w:r>
        <w:t>18. Qualys Provider Implementation</w:t>
      </w:r>
    </w:p>
    <w:p>
      <w:r>
        <w:t>Qualys is the first implemented vulnerability provider. PurpleWASP consumes Qualys host/detection results; it does not initiate vulnerability scans. Hosts are materialised when findings are relevant, and findings are normalised into the provider-neutral tenant schema.</w:t>
      </w:r>
    </w:p>
    <w:p>
      <w:pPr>
        <w:pStyle w:val="ListBullet"/>
      </w:pPr>
      <w:r>
        <w:t>Qualys Host/VM detection data provides host identity, QID, source status/severity, port/protocol/service, first/last seen, times seen and RESULTS evidence.</w:t>
      </w:r>
    </w:p>
    <w:p>
      <w:pPr>
        <w:pStyle w:val="ListBullet"/>
      </w:pPr>
      <w:r>
        <w:t>The global source_vulnerability_catalog stores QID definitions centrally.</w:t>
      </w:r>
    </w:p>
    <w:p>
      <w:pPr>
        <w:pStyle w:val="ListBullet"/>
      </w:pPr>
      <w:r>
        <w:t>source_vulnerability_cve_map preserves QID-to-CVE relationships and resolution to the global vulnerabilities catalogue when available.</w:t>
      </w:r>
    </w:p>
    <w:p>
      <w:pPr>
        <w:pStyle w:val="ListBullet"/>
      </w:pPr>
      <w:r>
        <w:t>Missing CVE/global mapping never blocks tenant finding ingestion.</w:t>
      </w:r>
    </w:p>
    <w:p>
      <w:pPr>
        <w:pStyle w:val="ListBullet"/>
      </w:pPr>
      <w:r>
        <w:t>Knowledge-base synchronisation is central maintenance; ordinary tenant ingestion is read-only to intel_core.</w:t>
      </w:r>
    </w:p>
    <w:p>
      <w:pPr>
        <w:pStyle w:val="Heading1"/>
      </w:pPr>
      <w:r>
        <w:t>19. Vulnerability and Exposure Architecture</w:t>
      </w:r>
    </w:p>
    <w:p>
      <w:r>
        <w:t>The Asset Vulnerabilities workspace groups observations by integration/source-vulnerability identity. This prevents one vulnerability on several ports/services from appearing as unrelated business items. Individual finding view remains available where observation-level detail is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Finding state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Meaning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open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Currently observed.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reopened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Previously resolved/suppressed and observed again.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resolved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No longer observed according to provider lifecycle.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suppressed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Suppressed/ignored according to the normalised source state.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unknown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Source state could not be confidently normalised.</w:t>
            </w:r>
          </w:p>
        </w:tc>
      </w:tr>
    </w:tbl>
    <w:p/>
    <w:p>
      <w:pPr>
        <w:pStyle w:val="Heading1"/>
      </w:pPr>
      <w:r>
        <w:t>20. Technical Finding Details and Evidence</w:t>
      </w:r>
    </w:p>
    <w:p>
      <w:r>
        <w:t>Finding Details combines two data planes: the provider/source vulnerability definition and the concrete observation on the Asset. It may show title, description, category, CVEs, consequence, remediation, scoring, host/IP, port/protocol/service, first/last seen, occurrence count, provider evidence and lifecycle history.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F0F8"/>
          </w:tcPr>
          <w:p>
            <w:pPr>
              <w:spacing w:after="0"/>
            </w:pPr>
            <w:r>
              <w:rPr>
                <w:b/>
                <w:color w:val="4B2466"/>
              </w:rPr>
              <w:t xml:space="preserve">Rendering safety: </w:t>
            </w:r>
            <w:r>
              <w:t>Scanner evidence can contain HTML or other returned content. The details UI renders evidence as escaped text rather than executable markup.</w:t>
            </w:r>
          </w:p>
        </w:tc>
      </w:tr>
    </w:tbl>
    <w:p/>
    <w:p>
      <w:pPr>
        <w:pStyle w:val="Heading1"/>
      </w:pPr>
      <w:r>
        <w:t>21. Asset-to-Risk Technical Evidence Workflow</w:t>
      </w:r>
    </w:p>
    <w:p>
      <w:pPr>
        <w:pStyle w:val="PWCode"/>
      </w:pPr>
      <w:r>
        <w:rPr>
          <w:rFonts w:ascii="Consolas" w:hAnsi="Consolas"/>
          <w:sz w:val="16"/>
        </w:rPr>
        <w:t>Asset finding/group -&gt; Link to existing Risk -&gt; risk_finding_map (live snapshot_key=0)</w:t>
        <w:br/>
        <w:t xml:space="preserve">                  -&gt; or Create Risk -&gt; normal Risk creation -&gt; automatic finding linkage</w:t>
      </w:r>
    </w:p>
    <w:p>
      <w:r>
        <w:t>The Asset UI distinguishes linkable Risk state from editable assessment state. A completed but still-active Risk can accept new evidence for a future reassessment without rewriting the completed assessment.</w:t>
      </w:r>
    </w:p>
    <w:p>
      <w:pPr>
        <w:pStyle w:val="Heading1"/>
      </w:pPr>
      <w:r>
        <w:t>22. Dashboard, Search, Filtering and Export</w:t>
      </w:r>
    </w:p>
    <w:p>
      <w:r>
        <w:t>Existing server-side Asset filtering/pagination remains. The vulnerability workspace adds status, severity, Risk-link and text search filters and paginates vulnerability groups/findings independently of the Asset Register.</w:t>
      </w:r>
    </w:p>
    <w:p>
      <w:pPr>
        <w:pStyle w:val="Heading1"/>
      </w:pPr>
      <w:r>
        <w:t>23. Vendor and Third-Party Context</w:t>
      </w:r>
    </w:p>
    <w:p>
      <w:r>
        <w:t>Vendor text fields remain distinct from explicit TPRM relationships. Vulnerability provider data must not be used to infer a Third Party relationship without an explicit relationship record.</w:t>
      </w:r>
    </w:p>
    <w:p>
      <w:pPr>
        <w:pStyle w:val="Heading1"/>
      </w:pPr>
      <w:r>
        <w:t>24. Permissions and Authorisation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Capability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Use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asset.view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Register, Asset details and finding views.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asset.write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Create/update/import and ordinary Asset changes.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asset.manage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Delete/retire/restore and integration administration where configured.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risk.view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View Risks available for technical-evidence linkage.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risk.write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Link/unlink technical evidence and create/manage Risk workflow actions where required.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control.write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Update per-Asset Control implementation.</w:t>
            </w:r>
          </w:p>
        </w:tc>
      </w:tr>
    </w:tbl>
    <w:p/>
    <w:p>
      <w:pPr>
        <w:pStyle w:val="Heading1"/>
      </w:pPr>
      <w:r>
        <w:t>25. Security Controls and Trust Boundaries</w:t>
      </w:r>
    </w:p>
    <w:p>
      <w:pPr>
        <w:pStyle w:val="ListBullet"/>
      </w:pPr>
      <w:r>
        <w:t>Integration secrets are encrypted with PW_INTEGRATION_MASTER_KEY before storage.</w:t>
      </w:r>
    </w:p>
    <w:p>
      <w:pPr>
        <w:pStyle w:val="ListBullet"/>
      </w:pPr>
      <w:r>
        <w:t>Production TLS verification is enabled; development-only insecure TLS is not a production configuration.</w:t>
      </w:r>
    </w:p>
    <w:p>
      <w:pPr>
        <w:pStyle w:val="ListBullet"/>
      </w:pPr>
      <w:r>
        <w:t>The worker/scheduler environment file supplies DB credentials without printing secret values.</w:t>
      </w:r>
    </w:p>
    <w:p>
      <w:pPr>
        <w:pStyle w:val="ListBullet"/>
      </w:pPr>
      <w:r>
        <w:t>Finding selection is revalidated server-side against the Asset before Risk linkage.</w:t>
      </w:r>
    </w:p>
    <w:p>
      <w:pPr>
        <w:pStyle w:val="ListBullet"/>
      </w:pPr>
      <w:r>
        <w:t>Provider evidence is escaped before browser rendering.</w:t>
      </w:r>
    </w:p>
    <w:p>
      <w:pPr>
        <w:pStyle w:val="ListBullet"/>
      </w:pPr>
      <w:r>
        <w:t>Cross-database references remain logical; avoid unsupported foreign keys across tenant databases.</w:t>
      </w:r>
    </w:p>
    <w:p>
      <w:pPr>
        <w:pStyle w:val="ListBullet"/>
      </w:pPr>
      <w:r>
        <w:t>Mutating endpoints should retain explicit capability and CSRF enforcement.</w:t>
      </w:r>
    </w:p>
    <w:p>
      <w:pPr>
        <w:pStyle w:val="Heading1"/>
      </w:pPr>
      <w:r>
        <w:t>26. Audit Logging and Data Integrity</w:t>
      </w:r>
    </w:p>
    <w:p>
      <w:r>
        <w:t>Core Asset mutations retain central audit behaviour. Integration run/job history provides operational traceability. Finding lifecycle history and evidence preserve technical provenance; Risk linkage preserves separate Risk audit/history without mutating source findings.</w:t>
      </w:r>
    </w:p>
    <w:p>
      <w:pPr>
        <w:pStyle w:val="Heading1"/>
      </w:pPr>
      <w:r>
        <w:t>27. PurpAI Asset Copilot</w:t>
      </w:r>
    </w:p>
    <w:p>
      <w:r>
        <w:t>PurpAI remains read-only and fact-bounded. Future context can include summarised vulnerability posture, but the AI must not invent findings, calculate authoritative Risk factors or mutate provider/Risk records.</w:t>
      </w:r>
    </w:p>
    <w:p>
      <w:pPr>
        <w:pStyle w:val="Heading1"/>
      </w:pPr>
      <w:r>
        <w:t>28. Error Handling and Resilience</w:t>
      </w:r>
    </w:p>
    <w:p>
      <w:pPr>
        <w:pStyle w:val="ListBullet"/>
      </w:pPr>
      <w:r>
        <w:t>Provider/API failures mark jobs/runs failed without blocking the Asset Register.</w:t>
      </w:r>
    </w:p>
    <w:p>
      <w:pPr>
        <w:pStyle w:val="ListBullet"/>
      </w:pPr>
      <w:r>
        <w:t>Global intel enrichment failure does not invalidate tenant findings.</w:t>
      </w:r>
    </w:p>
    <w:p>
      <w:pPr>
        <w:pStyle w:val="ListBullet"/>
      </w:pPr>
      <w:r>
        <w:t>The persistent worker restarts under supervision and scheduler/worker health is exposed through heartbeats.</w:t>
      </w:r>
    </w:p>
    <w:p>
      <w:pPr>
        <w:pStyle w:val="ListBullet"/>
      </w:pPr>
      <w:r>
        <w:t>The manual Run Integration action is asynchronous and browser polling observes job status.</w:t>
      </w:r>
    </w:p>
    <w:p>
      <w:pPr>
        <w:pStyle w:val="ListBullet"/>
      </w:pPr>
      <w:r>
        <w:t>Risk linkage does not delete or change the underlying Asset finding.</w:t>
      </w:r>
    </w:p>
    <w:p>
      <w:pPr>
        <w:pStyle w:val="Heading1"/>
      </w:pPr>
      <w:r>
        <w:t>29. Current Deployment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Current baseline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Tenant Asset DB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9 integration tables plus core Asset/taxonomy/risk-policy tables.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Global Intel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vulnerabilities, source_vulnerability_catalog, source_vulnerability_cve_map, catalogue sync state.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Protected runtime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IntegrationRuntime, worker, scheduler, secret helper, provider adapters/importers.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Web UI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Integration configuration/run history/runtime health; Asset Vulnerabilities workspace and shared finding details.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 bridge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risk_finding_map and Risk technical-vulnerability assessment in tenant Risk DB.</w:t>
            </w:r>
          </w:p>
        </w:tc>
      </w:tr>
    </w:tbl>
    <w:p/>
    <w:p>
      <w:pPr>
        <w:pStyle w:val="Heading1"/>
      </w:pPr>
      <w:r>
        <w:t>30. Deployment and Change Procedure</w:t>
      </w:r>
    </w:p>
    <w:p>
      <w:pPr>
        <w:ind w:left="216"/>
      </w:pPr>
      <w:r>
        <w:rPr>
          <w:b/>
        </w:rPr>
        <w:t xml:space="preserve">1. </w:t>
      </w:r>
      <w:r>
        <w:t>Back up changed web/protected runtime files and tenant schemas.</w:t>
      </w:r>
    </w:p>
    <w:p>
      <w:pPr>
        <w:ind w:left="216"/>
      </w:pPr>
      <w:r>
        <w:rPr>
          <w:b/>
        </w:rPr>
        <w:t xml:space="preserve">2. </w:t>
      </w:r>
      <w:r>
        <w:t>Apply schema migrations before deploying code that depends on them.</w:t>
      </w:r>
    </w:p>
    <w:p>
      <w:pPr>
        <w:ind w:left="216"/>
      </w:pPr>
      <w:r>
        <w:rPr>
          <w:b/>
        </w:rPr>
        <w:t xml:space="preserve">3. </w:t>
      </w:r>
      <w:r>
        <w:t>Keep the same application PHP code across dev/prod; only supervisor/environment differs.</w:t>
      </w:r>
    </w:p>
    <w:p>
      <w:pPr>
        <w:ind w:left="216"/>
      </w:pPr>
      <w:r>
        <w:rPr>
          <w:b/>
        </w:rPr>
        <w:t xml:space="preserve">4. </w:t>
      </w:r>
      <w:r>
        <w:t>Validate production env file and protected integration runtime config without exposing secrets.</w:t>
      </w:r>
    </w:p>
    <w:p>
      <w:pPr>
        <w:ind w:left="216"/>
      </w:pPr>
      <w:r>
        <w:rPr>
          <w:b/>
        </w:rPr>
        <w:t xml:space="preserve">5. </w:t>
      </w:r>
      <w:r>
        <w:t>Run php -l / node --check on changed files.</w:t>
      </w:r>
    </w:p>
    <w:p>
      <w:pPr>
        <w:ind w:left="216"/>
      </w:pPr>
      <w:r>
        <w:rPr>
          <w:b/>
        </w:rPr>
        <w:t xml:space="preserve">6. </w:t>
      </w:r>
      <w:r>
        <w:t>Restart/reload worker supervision only when runtime files/config changed.</w:t>
      </w:r>
    </w:p>
    <w:p>
      <w:pPr>
        <w:ind w:left="216"/>
      </w:pPr>
      <w:r>
        <w:rPr>
          <w:b/>
        </w:rPr>
        <w:t xml:space="preserve">7. </w:t>
      </w:r>
      <w:r>
        <w:t>Hard-refresh browser after JS/CSS changes.</w:t>
      </w:r>
    </w:p>
    <w:p>
      <w:pPr>
        <w:ind w:left="216"/>
      </w:pPr>
      <w:r>
        <w:rPr>
          <w:b/>
        </w:rPr>
        <w:t xml:space="preserve">8. </w:t>
      </w:r>
      <w:r>
        <w:t>Perform an end-to-end integration run and one Asset finding Details/Risk-link test.</w:t>
      </w:r>
    </w:p>
    <w:p>
      <w:pPr>
        <w:pStyle w:val="Heading1"/>
      </w:pPr>
      <w:r>
        <w:t>31. Regression Test Suite</w:t>
      </w:r>
    </w:p>
    <w:p>
      <w:pPr>
        <w:pStyle w:val="ListBullet"/>
      </w:pPr>
      <w:r>
        <w:t>Asset Register CRUD/taxonomy/CIA/lifecycle/tag tests from v1.0.</w:t>
      </w:r>
    </w:p>
    <w:p>
      <w:pPr>
        <w:pStyle w:val="ListBullet"/>
      </w:pPr>
      <w:r>
        <w:t>Integration Test Connection, manual Run, queued -&gt; running -&gt; success/fail, run history and heartbeat status.</w:t>
      </w:r>
    </w:p>
    <w:p>
      <w:pPr>
        <w:pStyle w:val="ListBullet"/>
      </w:pPr>
      <w:r>
        <w:t>Provider import creates/matches Asset and imports findings without requiring global catalogue completeness.</w:t>
      </w:r>
    </w:p>
    <w:p>
      <w:pPr>
        <w:pStyle w:val="ListBullet"/>
      </w:pPr>
      <w:r>
        <w:t>Grouped vulnerability counts reconcile with individual findings.</w:t>
      </w:r>
    </w:p>
    <w:p>
      <w:pPr>
        <w:pStyle w:val="ListBullet"/>
      </w:pPr>
      <w:r>
        <w:t>Finding Details shows useful definition/observation/evidence and safely escapes returned HTML.</w:t>
      </w:r>
    </w:p>
    <w:p>
      <w:pPr>
        <w:pStyle w:val="ListBullet"/>
      </w:pPr>
      <w:r>
        <w:t>Link/unlink does not mutate the source finding.</w:t>
      </w:r>
    </w:p>
    <w:p>
      <w:pPr>
        <w:pStyle w:val="ListBullet"/>
      </w:pPr>
      <w:r>
        <w:t>Completed Risk can accept new evidence for next reassessment; closed/archived/pending-exception restrictions remain.</w:t>
      </w:r>
    </w:p>
    <w:p>
      <w:pPr>
        <w:pStyle w:val="ListBullet"/>
      </w:pPr>
      <w:r>
        <w:t>Resolved/reopened finding lifecycle is reflected without deleting historical evidence.</w:t>
      </w:r>
    </w:p>
    <w:p>
      <w:pPr>
        <w:pStyle w:val="Heading1"/>
      </w:pPr>
      <w:r>
        <w:t>32. Troubleshooting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Symptom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Checks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Worker restarts / scheduler fails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Inspect journald/Task Scheduler and verify environment file/DB credentials.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No heartbeat files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Verify service user can write runtime directory; do not create heartbeat JSON manually.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Run queued but not processed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Check worker active state, integration status and job logs.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 has no findings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Confirm successful provider run, integration Asset mapping and provider detection response.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QID shows no CVE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Valid for many findings; check source catalogue definition rather than treating it as invalid.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Risk link dialog shows no active Risk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Check Risk status/archive/pending exception and Asset match.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Details shows only provider ID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Check source_vulnerability_id/provider+external-ID catalogue enrichment and global intel availability.</w:t>
            </w:r>
          </w:p>
        </w:tc>
      </w:tr>
    </w:tbl>
    <w:p/>
    <w:p>
      <w:pPr>
        <w:pStyle w:val="Heading1"/>
      </w:pPr>
      <w:r>
        <w:t>33. Known Limitations and Implementation Notes</w:t>
      </w:r>
    </w:p>
    <w:p>
      <w:pPr>
        <w:ind w:left="216"/>
      </w:pPr>
      <w:r>
        <w:rPr>
          <w:b/>
        </w:rPr>
        <w:t xml:space="preserve">1. </w:t>
      </w:r>
      <w:r>
        <w:t>Qualys is the first fully exercised vulnerability provider; other provider icons/configuration do not imply implemented ingestion.</w:t>
      </w:r>
    </w:p>
    <w:p>
      <w:pPr>
        <w:ind w:left="216"/>
      </w:pPr>
      <w:r>
        <w:rPr>
          <w:b/>
        </w:rPr>
        <w:t xml:space="preserve">2. </w:t>
      </w:r>
      <w:r>
        <w:t>PurpleWASP consumes scanner results and does not currently initiate vulnerability scans.</w:t>
      </w:r>
    </w:p>
    <w:p>
      <w:pPr>
        <w:ind w:left="216"/>
      </w:pPr>
      <w:r>
        <w:rPr>
          <w:b/>
        </w:rPr>
        <w:t xml:space="preserve">3. </w:t>
      </w:r>
      <w:r>
        <w:t>Global vulnerability/CVE enrichment can be incomplete without blocking tenant evidence.</w:t>
      </w:r>
    </w:p>
    <w:p>
      <w:pPr>
        <w:ind w:left="216"/>
      </w:pPr>
      <w:r>
        <w:rPr>
          <w:b/>
        </w:rPr>
        <w:t xml:space="preserve">4. </w:t>
      </w:r>
      <w:r>
        <w:t>The Asset import taxonomy-assignment discrepancy from v1.0 remains a separate import issue unless fixed elsewhere.</w:t>
      </w:r>
    </w:p>
    <w:p>
      <w:pPr>
        <w:ind w:left="216"/>
      </w:pPr>
      <w:r>
        <w:rPr>
          <w:b/>
        </w:rPr>
        <w:t xml:space="preserve">5. </w:t>
      </w:r>
      <w:r>
        <w:t>Technical exposure does not yet create automated Risk candidates as an authoritative action; any future suggestion layer must remain human-confirmed.</w:t>
      </w:r>
    </w:p>
    <w:p>
      <w:pPr>
        <w:ind w:left="216"/>
      </w:pPr>
      <w:r>
        <w:rPr>
          <w:b/>
        </w:rPr>
        <w:t xml:space="preserve">6. </w:t>
      </w:r>
      <w:r>
        <w:t>Integration worker/scheduler production supervision is systemd-based for this subsystem; do not add a second integration cron path.</w:t>
      </w:r>
    </w:p>
    <w:p>
      <w:pPr>
        <w:pStyle w:val="Heading1"/>
      </w:pPr>
      <w:r>
        <w:t>34. Maintenance Rules for Future Development</w:t>
      </w:r>
    </w:p>
    <w:p>
      <w:pPr>
        <w:ind w:left="216"/>
      </w:pPr>
      <w:r>
        <w:rPr>
          <w:b/>
        </w:rPr>
        <w:t xml:space="preserve">1. </w:t>
      </w:r>
      <w:r>
        <w:t>Keep provider adapters behind canonical normalisation.</w:t>
      </w:r>
    </w:p>
    <w:p>
      <w:pPr>
        <w:ind w:left="216"/>
      </w:pPr>
      <w:r>
        <w:rPr>
          <w:b/>
        </w:rPr>
        <w:t xml:space="preserve">2. </w:t>
      </w:r>
      <w:r>
        <w:t>Do not add provider-specific columns to generic findings unless a provider-neutral semantic is impossible and documented.</w:t>
      </w:r>
    </w:p>
    <w:p>
      <w:pPr>
        <w:ind w:left="216"/>
      </w:pPr>
      <w:r>
        <w:rPr>
          <w:b/>
        </w:rPr>
        <w:t xml:space="preserve">3. </w:t>
      </w:r>
      <w:r>
        <w:t>Keep intel_core source catalogues central and tenant observations tenant-local.</w:t>
      </w:r>
    </w:p>
    <w:p>
      <w:pPr>
        <w:ind w:left="216"/>
      </w:pPr>
      <w:r>
        <w:rPr>
          <w:b/>
        </w:rPr>
        <w:t xml:space="preserve">4. </w:t>
      </w:r>
      <w:r>
        <w:t>Never block evidence ingestion solely because a CVE/global mapping is absent.</w:t>
      </w:r>
    </w:p>
    <w:p>
      <w:pPr>
        <w:ind w:left="216"/>
      </w:pPr>
      <w:r>
        <w:rPr>
          <w:b/>
        </w:rPr>
        <w:t xml:space="preserve">5. </w:t>
      </w:r>
      <w:r>
        <w:t>Preserve stable external_finding_key identity and finding lifecycle history.</w:t>
      </w:r>
    </w:p>
    <w:p>
      <w:pPr>
        <w:ind w:left="216"/>
      </w:pPr>
      <w:r>
        <w:rPr>
          <w:b/>
        </w:rPr>
        <w:t xml:space="preserve">6. </w:t>
      </w:r>
      <w:r>
        <w:t>Keep technical findings separate from business Risks; automate discovery/context, not the business decision.</w:t>
      </w:r>
    </w:p>
    <w:p>
      <w:pPr>
        <w:ind w:left="216"/>
      </w:pPr>
      <w:r>
        <w:rPr>
          <w:b/>
        </w:rPr>
        <w:t xml:space="preserve">7. </w:t>
      </w:r>
      <w:r>
        <w:t>Preserve completed Risk snapshot immutability when provider posture changes.</w:t>
      </w:r>
    </w:p>
    <w:p>
      <w:pPr>
        <w:ind w:left="216"/>
      </w:pPr>
      <w:r>
        <w:rPr>
          <w:b/>
        </w:rPr>
        <w:t xml:space="preserve">8. </w:t>
      </w:r>
      <w:r>
        <w:t>Update Help Centre, guided flows, first-time handbook and this technical reference whenever the integration/vulnerability UX changes.</w:t>
      </w:r>
    </w:p>
    <w:p>
      <w:pPr>
        <w:pStyle w:val="Heading1"/>
      </w:pPr>
      <w:r>
        <w:t>Appendix A. Database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Table</w:t>
            </w:r>
          </w:p>
        </w:tc>
        <w:tc>
          <w:tcPr>
            <w:tcW w:type="dxa" w:w="504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Database / role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Tenant Asset Management core record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 configuration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integration_jobs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Queued provider work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asset_integration_runs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Run history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asset_integration_assets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Provider Asset mapping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asset_integration_sync_state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Incremental sync state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asset_integration_run_metrics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Run metrics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Current normalised findings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asset_vulnerability_finding_history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Finding lifecycle history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asset_vulnerability_finding_evidence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Finding evidence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source_vulnerability_catalog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Global Intel provider vulnerability definitions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source_vulnerability_cve_map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Global Intel provider vulnerability to CVE mapping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vulnerabilities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Global Intel canonical CVE catalogue</w:t>
            </w:r>
          </w:p>
        </w:tc>
      </w:tr>
    </w:tbl>
    <w:p/>
    <w:p>
      <w:pPr>
        <w:pStyle w:val="Heading1"/>
      </w:pPr>
      <w:r>
        <w:t>Appendix B. Endpoint and Permission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Endpoint</w:t>
            </w:r>
          </w:p>
        </w:tc>
        <w:tc>
          <w:tcPr>
            <w:tcW w:type="dxa" w:w="336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Mode</w:t>
            </w:r>
          </w:p>
        </w:tc>
        <w:tc>
          <w:tcPr>
            <w:tcW w:type="dxa" w:w="3360"/>
            <w:shd w:fill="4B2466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Primary guard / purpose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asset_register.php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Page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asset.view; Asset workspace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asset_vulnerability_workspace_api.php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Read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asset.view; grouped findings + Risk context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get_finding_detail.php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Read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asset.view; shared finding detail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save_integration.php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Write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asset.manage + CSRF; configuration/secrets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test_integration.php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Write/test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asset.manage + CSRF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run_integration.php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Write/queue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asset.manage + CSRF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get_integration_overview.php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Read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integration summary/history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get_integration_runtime_status.php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Read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runtime health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technical_exposure_api.php (Risk)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Read/write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b w:val="0"/>
                <w:sz w:val="17"/>
              </w:rPr>
              <w:t>risk.view/risk.write + CSRF for linkage/assessment</w:t>
            </w:r>
          </w:p>
        </w:tc>
      </w:tr>
    </w:tbl>
    <w:p/>
    <w:p>
      <w:pPr>
        <w:pStyle w:val="Heading1"/>
      </w:pPr>
      <w:r>
        <w:t>Appendix C. Integration and Finding Lifecycle</w:t>
      </w:r>
    </w:p>
    <w:p>
      <w:pPr>
        <w:pStyle w:val="PWCode"/>
      </w:pPr>
      <w:r>
        <w:rPr>
          <w:rFonts w:ascii="Consolas" w:hAnsi="Consolas"/>
          <w:sz w:val="16"/>
        </w:rPr>
        <w:t>Integration: configured -&gt; active -&gt; scheduled/manual job -&gt; running -&gt; succeeded|failed</w:t>
        <w:br/>
        <w:t>Finding: open -&gt; resolved -&gt; reopened; suppressed/unknown retained where source semantics require</w:t>
        <w:br/>
        <w:t>Risk link: unlinked -&gt; live linked -&gt; historical assessment snapshot on completion; unlink affects relationship, not finding</w:t>
      </w:r>
    </w:p>
    <w:p>
      <w:pPr>
        <w:pStyle w:val="Heading1"/>
      </w:pPr>
      <w:r>
        <w:t>Appendix D. Definition of Done for Asset Management v2.0</w:t>
      </w:r>
    </w:p>
    <w:p>
      <w:pPr>
        <w:pStyle w:val="ListBullet"/>
      </w:pPr>
      <w:r>
        <w:t>Core Asset v1 regression suite passes.</w:t>
      </w:r>
    </w:p>
    <w:p>
      <w:pPr>
        <w:pStyle w:val="ListBullet"/>
      </w:pPr>
      <w:r>
        <w:t>Integration queue/runtime recovers after service restart and exposes healthy heartbeats.</w:t>
      </w:r>
    </w:p>
    <w:p>
      <w:pPr>
        <w:pStyle w:val="ListBullet"/>
      </w:pPr>
      <w:r>
        <w:t>Production TLS verification and secret decryption work without logging secrets.</w:t>
      </w:r>
    </w:p>
    <w:p>
      <w:pPr>
        <w:pStyle w:val="ListBullet"/>
      </w:pPr>
      <w:r>
        <w:t>Provider findings import and remain usable without full CVE enrichment.</w:t>
      </w:r>
    </w:p>
    <w:p>
      <w:pPr>
        <w:pStyle w:val="ListBullet"/>
      </w:pPr>
      <w:r>
        <w:t>Asset workspace Overview/Controls/Vulnerabilities/Activity and persistent Risk Details render correctly.</w:t>
      </w:r>
    </w:p>
    <w:p>
      <w:pPr>
        <w:pStyle w:val="ListBullet"/>
      </w:pPr>
      <w:r>
        <w:t>Finding Details contains meaningful definition/observation/evidence and escapes untrusted scanner output.</w:t>
      </w:r>
    </w:p>
    <w:p>
      <w:pPr>
        <w:pStyle w:val="ListBullet"/>
      </w:pPr>
      <w:r>
        <w:t>Link existing Risk / Create Risk workflow preserves one active-Risk business rules and does not mutate source findings.</w:t>
      </w:r>
    </w:p>
    <w:p>
      <w:pPr>
        <w:pStyle w:val="ListBullet"/>
      </w:pPr>
      <w:r>
        <w:t>Documentation, Help Centre and Guide this asset flow match the deployed UI.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87878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A3E78"/>
        <w:sz w:val="17"/>
      </w:rPr>
      <w:t>PurpleWASP  |  Asset Management Technical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9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D23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A3E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5A3E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3D235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66666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317" w:right="173"/>
      <w:shd w:fill="F4F1F8"/>
      <w:pBdr>
        <w:left w:val="single" w:sz="18" w:space="6" w:color="7A5AA6"/>
      </w:pBdr>
    </w:pPr>
    <w:rPr>
      <w:rFonts w:ascii="Consolas" w:hAnsi="Consolas"/>
      <w:sz w:val="16"/>
    </w:rPr>
  </w:style>
  <w:style w:type="paragraph" w:customStyle="1" w:styleId="PWCode">
    <w:name w:val="PW Code"/>
    <w:pPr>
      <w:spacing w:before="80" w:after="80"/>
      <w:ind w:left="259"/>
    </w:pPr>
    <w:rPr>
      <w:rFonts w:ascii="Consolas" w:hAnsi="Consolas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PurpleWASP Asset Management Technical Documentation</dc:title>
  <dc:subject>Architecture, Taxonomy, Lifecycle, Risk and Control Integration, Import, Security and Operations Reference</dc:subject>
  <dc:creator>PurpleWASP</dc:creator>
  <cp:keywords>PurpleWASP, Asset Management, GRC, Risk, Controls, CIA, Taxonomy, PurpAI</cp:keywords>
  <dc:description>Version 1.0 - generated from the supplied PurpleWASP implementation and schema evidence.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