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B0983"/>
          <w:sz w:val="28"/>
        </w:rPr>
        <w:t>PURPLEWASP</w:t>
      </w:r>
    </w:p>
    <w:p>
      <w:pPr>
        <w:pStyle w:val="Title"/>
        <w:jc w:val="center"/>
      </w:pPr>
      <w:r>
        <w:t>Cyber Essentials &amp; Cyber Essentials Plus Technical Implementation Guide</w:t>
      </w:r>
    </w:p>
    <w:p>
      <w:pPr>
        <w:jc w:val="center"/>
      </w:pPr>
      <w:r>
        <w:rPr>
          <w:color w:val="666666"/>
          <w:sz w:val="26"/>
        </w:rPr>
        <w:t>PurpleWASP questionnaire, lifecycle, technical-assurance and shared-Control architecture</w:t>
      </w:r>
    </w:p>
    <w:p/>
    <w:tbl>
      <w:tblPr>
        <w:tblW w:type="auto" w:w="0"/>
        <w:jc w:val="center"/>
        <w:tblLayout w:type="autofit"/>
        <w:tblLook w:firstColumn="1" w:firstRow="1" w:lastColumn="0" w:lastRow="0" w:noHBand="0" w:noVBand="1" w:val="04A0"/>
      </w:tblPr>
      <w:tblGrid>
        <w:gridCol w:w="4939"/>
        <w:gridCol w:w="4939"/>
      </w:tblGrid>
      <w:tr>
        <w:tc>
          <w:tcPr>
            <w:tcW w:type="dxa" w:w="4939"/>
            <w:shd w:fill="F3EFF7"/>
            <w:tcMar>
              <w:top w:w="80" w:type="dxa"/>
              <w:start w:w="100" w:type="dxa"/>
              <w:bottom w:w="80" w:type="dxa"/>
              <w:end w:w="100" w:type="dxa"/>
            </w:tcMar>
          </w:tcPr>
          <w:p>
            <w:r>
              <w:rPr>
                <w:b/>
              </w:rPr>
              <w:t>Audience</w:t>
            </w:r>
          </w:p>
        </w:tc>
        <w:tc>
          <w:tcPr>
            <w:tcW w:type="dxa" w:w="4939"/>
            <w:tcMar>
              <w:top w:w="80" w:type="dxa"/>
              <w:start w:w="100" w:type="dxa"/>
              <w:bottom w:w="80" w:type="dxa"/>
              <w:end w:w="100" w:type="dxa"/>
            </w:tcMar>
          </w:tcPr>
          <w:p>
            <w:r>
              <w:t>PurpleWASP developers, administrators, implementation partners and technical support teams</w:t>
            </w:r>
          </w:p>
        </w:tc>
      </w:tr>
      <w:tr>
        <w:tc>
          <w:tcPr>
            <w:tcW w:type="dxa" w:w="4939"/>
            <w:shd w:fill="F3EFF7"/>
            <w:tcMar>
              <w:top w:w="80" w:type="dxa"/>
              <w:start w:w="100" w:type="dxa"/>
              <w:bottom w:w="80" w:type="dxa"/>
              <w:end w:w="100" w:type="dxa"/>
            </w:tcMar>
          </w:tcPr>
          <w:p>
            <w:r>
              <w:rPr>
                <w:b/>
              </w:rPr>
              <w:t>Baseline date</w:t>
            </w:r>
          </w:p>
        </w:tc>
        <w:tc>
          <w:tcPr>
            <w:tcW w:type="dxa" w:w="4939"/>
            <w:tcMar>
              <w:top w:w="80" w:type="dxa"/>
              <w:start w:w="100" w:type="dxa"/>
              <w:bottom w:w="80" w:type="dxa"/>
              <w:end w:w="100" w:type="dxa"/>
            </w:tcMar>
          </w:tcPr>
          <w:p>
            <w:r>
              <w:t>18 September 2026</w:t>
            </w:r>
          </w:p>
        </w:tc>
      </w:tr>
      <w:tr>
        <w:tc>
          <w:tcPr>
            <w:tcW w:type="dxa" w:w="4939"/>
            <w:shd w:fill="F3EFF7"/>
            <w:tcMar>
              <w:top w:w="80" w:type="dxa"/>
              <w:start w:w="100" w:type="dxa"/>
              <w:bottom w:w="80" w:type="dxa"/>
              <w:end w:w="100" w:type="dxa"/>
            </w:tcMar>
          </w:tcPr>
          <w:p>
            <w:r>
              <w:rPr>
                <w:b/>
              </w:rPr>
              <w:t>Status</w:t>
            </w:r>
          </w:p>
        </w:tc>
        <w:tc>
          <w:tcPr>
            <w:tcW w:type="dxa" w:w="4939"/>
            <w:tcMar>
              <w:top w:w="80" w:type="dxa"/>
              <w:start w:w="100" w:type="dxa"/>
              <w:bottom w:w="80" w:type="dxa"/>
              <w:end w:w="100" w:type="dxa"/>
            </w:tcMar>
          </w:tcPr>
          <w:p>
            <w:r>
              <w:t>Current documentation baseline</w:t>
            </w:r>
          </w:p>
        </w:tc>
      </w:tr>
      <w:tr>
        <w:tc>
          <w:tcPr>
            <w:tcW w:type="dxa" w:w="4939"/>
            <w:shd w:fill="F3EFF7"/>
            <w:tcMar>
              <w:top w:w="80" w:type="dxa"/>
              <w:start w:w="100" w:type="dxa"/>
              <w:bottom w:w="80" w:type="dxa"/>
              <w:end w:w="100" w:type="dxa"/>
            </w:tcMar>
          </w:tcPr>
          <w:p>
            <w:r>
              <w:rPr>
                <w:b/>
              </w:rPr>
              <w:t>Product scope</w:t>
            </w:r>
          </w:p>
        </w:tc>
        <w:tc>
          <w:tcPr>
            <w:tcW w:type="dxa" w:w="4939"/>
            <w:tcMar>
              <w:top w:w="80" w:type="dxa"/>
              <w:start w:w="100" w:type="dxa"/>
              <w:bottom w:w="80" w:type="dxa"/>
              <w:end w:w="100" w:type="dxa"/>
            </w:tcMar>
          </w:tcPr>
          <w:p>
            <w:r>
              <w:t>PurpleWASP compliance and shared Control Management architecture</w:t>
            </w:r>
          </w:p>
        </w:tc>
      </w:tr>
    </w:tbl>
    <w:p/>
    <w:p>
      <w:pPr>
        <w:pStyle w:val="PWSmall"/>
        <w:jc w:val="center"/>
      </w:pPr>
      <w:r>
        <w:t>Framework implementation decisions should always be validated against the current authoritative scheme/framework material and, where applicable, the independent assessor or service auditor.</w:t>
      </w:r>
    </w:p>
    <w:p>
      <w:r>
        <w:br w:type="page"/>
      </w:r>
    </w:p>
    <w:p>
      <w:pPr>
        <w:pStyle w:val="Heading1"/>
      </w:pPr>
      <w:r>
        <w:t>Document map</w:t>
      </w:r>
    </w:p>
    <w:p>
      <w:r>
        <w:rPr>
          <w:b/>
        </w:rPr>
        <w:t>1. Technical scope and version baseline</w:t>
      </w:r>
    </w:p>
    <w:p>
      <w:r>
        <w:rPr>
          <w:b/>
        </w:rPr>
        <w:t>2. Architecture and persistence boundaries</w:t>
      </w:r>
    </w:p>
    <w:p>
      <w:r>
        <w:rPr>
          <w:b/>
        </w:rPr>
        <w:t>3. Route/page inventory</w:t>
      </w:r>
    </w:p>
    <w:p>
      <w:r>
        <w:rPr>
          <w:b/>
        </w:rPr>
        <w:t>4. Questionnaire engine</w:t>
      </w:r>
    </w:p>
    <w:p>
      <w:r>
        <w:rPr>
          <w:b/>
        </w:rPr>
        <w:t>5. Scope model</w:t>
      </w:r>
    </w:p>
    <w:p>
      <w:r>
        <w:rPr>
          <w:b/>
        </w:rPr>
        <w:t>6. Readiness and remediation</w:t>
      </w:r>
    </w:p>
    <w:p>
      <w:r>
        <w:rPr>
          <w:b/>
        </w:rPr>
        <w:t>7. Declaration/submission/certification lifecycle</w:t>
      </w:r>
    </w:p>
    <w:p>
      <w:r>
        <w:rPr>
          <w:b/>
        </w:rPr>
        <w:t>8. Cyber Essentials Plus architecture</w:t>
      </w:r>
    </w:p>
    <w:p>
      <w:r>
        <w:rPr>
          <w:b/>
        </w:rPr>
        <w:t>9. Shared Control assurance</w:t>
      </w:r>
    </w:p>
    <w:p>
      <w:r>
        <w:rPr>
          <w:b/>
        </w:rPr>
        <w:t>10. Permissions and write APIs</w:t>
      </w:r>
    </w:p>
    <w:p>
      <w:r>
        <w:rPr>
          <w:b/>
        </w:rPr>
        <w:t>11. Readiness score boundary</w:t>
      </w:r>
    </w:p>
    <w:p>
      <w:r>
        <w:rPr>
          <w:b/>
        </w:rPr>
        <w:t>12. Failure modes</w:t>
      </w:r>
    </w:p>
    <w:p>
      <w:r>
        <w:rPr>
          <w:b/>
        </w:rPr>
        <w:t>13. Acceptance/regression test</w:t>
      </w:r>
    </w:p>
    <w:p>
      <w:r>
        <w:rPr>
          <w:b/>
        </w:rPr>
        <w:t>14. Maintenance/versioning guidance</w:t>
      </w:r>
    </w:p>
    <w:p>
      <w:r>
        <w:br w:type="page"/>
      </w:r>
    </w:p>
    <w:p>
      <w:pPr>
        <w:pStyle w:val="Heading1"/>
      </w:pPr>
      <w:r>
        <w:t>1. Technical scope and version baseline</w:t>
      </w:r>
    </w:p>
    <w:p>
      <w:r>
        <w:t>The module models Cyber Essentials preparation as a lifecycle rather than a static questionnaire. The current implementation is aligned to the Danzell question set and the 2026 Requirements for IT Infrastructure v3.3 baseline used for applications created from 27 April 2026. Scheme versions change annually, so question content/evaluation rules must remain version-aware.</w:t>
      </w:r>
    </w:p>
    <w:tbl>
      <w:tblPr>
        <w:tblW w:type="auto" w:w="0"/>
        <w:jc w:val="center"/>
        <w:tblLook w:firstColumn="1" w:firstRow="1" w:lastColumn="0" w:lastRow="0" w:noHBand="0" w:noVBand="1" w:val="04A0"/>
      </w:tblPr>
      <w:tblGrid>
        <w:gridCol w:w="9878"/>
      </w:tblGrid>
      <w:tr>
        <w:tc>
          <w:tcPr>
            <w:tcW w:type="dxa" w:w="9878"/>
            <w:shd w:fill="F3EFF7"/>
            <w:tcMar>
              <w:top w:w="120" w:type="dxa"/>
              <w:start w:w="140" w:type="dxa"/>
              <w:bottom w:w="120" w:type="dxa"/>
              <w:end w:w="140" w:type="dxa"/>
            </w:tcMar>
          </w:tcPr>
          <w:p>
            <w:r>
              <w:rPr>
                <w:b/>
                <w:color w:val="4B0983"/>
              </w:rPr>
              <w:t>External authority</w:t>
              <w:br/>
            </w:r>
            <w:r>
              <w:t>PurpleWASP readiness, submission snapshots and CE+ outcome records support preparation. Certification remains with the authorised Cyber Essentials Certification Body / Assessor.</w:t>
            </w:r>
          </w:p>
        </w:tc>
      </w:tr>
    </w:tbl>
    <w:p/>
    <w:p>
      <w:pPr>
        <w:pStyle w:val="Heading1"/>
      </w:pPr>
      <w:r>
        <w:t>2. Architecture and persistence boundaries</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4B0983"/>
            <w:vAlign w:val="center"/>
            <w:tcMar>
              <w:top w:w="80" w:type="dxa"/>
              <w:start w:w="100" w:type="dxa"/>
              <w:bottom w:w="80" w:type="dxa"/>
              <w:end w:w="100" w:type="dxa"/>
            </w:tcMar>
          </w:tcPr>
          <w:p>
            <w:r>
              <w:rPr>
                <w:b/>
                <w:color w:val="FFFFFF"/>
              </w:rPr>
              <w:t>Data area</w:t>
            </w:r>
          </w:p>
        </w:tc>
        <w:tc>
          <w:tcPr>
            <w:tcW w:type="dxa" w:w="3293"/>
            <w:shd w:fill="4B0983"/>
            <w:vAlign w:val="center"/>
            <w:tcMar>
              <w:top w:w="80" w:type="dxa"/>
              <w:start w:w="100" w:type="dxa"/>
              <w:bottom w:w="80" w:type="dxa"/>
              <w:end w:w="100" w:type="dxa"/>
            </w:tcMar>
          </w:tcPr>
          <w:p>
            <w:r>
              <w:rPr>
                <w:b/>
                <w:color w:val="FFFFFF"/>
              </w:rPr>
              <w:t>Primary tables/entities</w:t>
            </w:r>
          </w:p>
        </w:tc>
        <w:tc>
          <w:tcPr>
            <w:tcW w:type="dxa" w:w="3293"/>
            <w:shd w:fill="4B0983"/>
            <w:vAlign w:val="center"/>
            <w:tcMar>
              <w:top w:w="80" w:type="dxa"/>
              <w:start w:w="100" w:type="dxa"/>
              <w:bottom w:w="80" w:type="dxa"/>
              <w:end w:w="100" w:type="dxa"/>
            </w:tcMar>
          </w:tcPr>
          <w:p>
            <w:r>
              <w:rPr>
                <w:b/>
                <w:color w:val="FFFFFF"/>
              </w:rPr>
              <w:t>Responsibility</w:t>
            </w:r>
          </w:p>
        </w:tc>
      </w:tr>
      <w:tr>
        <w:tc>
          <w:tcPr>
            <w:tcW w:type="dxa" w:w="3293"/>
            <w:tcMar>
              <w:top w:w="80" w:type="dxa"/>
              <w:start w:w="100" w:type="dxa"/>
              <w:bottom w:w="80" w:type="dxa"/>
              <w:end w:w="100" w:type="dxa"/>
            </w:tcMar>
            <w:vAlign w:val="top"/>
          </w:tcPr>
          <w:p>
            <w:r>
              <w:t>Cyber Essentials tenant state</w:t>
            </w:r>
          </w:p>
        </w:tc>
        <w:tc>
          <w:tcPr>
            <w:tcW w:type="dxa" w:w="3293"/>
            <w:tcMar>
              <w:top w:w="80" w:type="dxa"/>
              <w:start w:w="100" w:type="dxa"/>
              <w:bottom w:w="80" w:type="dxa"/>
              <w:end w:w="100" w:type="dxa"/>
            </w:tcMar>
            <w:vAlign w:val="top"/>
          </w:tcPr>
          <w:p>
            <w:r>
              <w:t>ce_assessments, ce_scope_objects, ce_question_responses, ce_readiness_decisions, ce_management_declarations, ce_submission_snapshots, ce_certifications</w:t>
            </w:r>
          </w:p>
        </w:tc>
        <w:tc>
          <w:tcPr>
            <w:tcW w:type="dxa" w:w="3293"/>
            <w:tcMar>
              <w:top w:w="80" w:type="dxa"/>
              <w:start w:w="100" w:type="dxa"/>
              <w:bottom w:w="80" w:type="dxa"/>
              <w:end w:w="100" w:type="dxa"/>
            </w:tcMar>
            <w:vAlign w:val="top"/>
          </w:tcPr>
          <w:p>
            <w:r>
              <w:t>Assessment scope, questionnaire, decisions, declaration, submission and certificate lifecycle.</w:t>
            </w:r>
          </w:p>
        </w:tc>
      </w:tr>
      <w:tr>
        <w:tc>
          <w:tcPr>
            <w:tcW w:type="dxa" w:w="3293"/>
            <w:tcMar>
              <w:top w:w="80" w:type="dxa"/>
              <w:start w:w="100" w:type="dxa"/>
              <w:bottom w:w="80" w:type="dxa"/>
              <w:end w:w="100" w:type="dxa"/>
            </w:tcMar>
            <w:vAlign w:val="top"/>
          </w:tcPr>
          <w:p>
            <w:r>
              <w:t>Cyber Essentials Plus state</w:t>
            </w:r>
          </w:p>
        </w:tc>
        <w:tc>
          <w:tcPr>
            <w:tcW w:type="dxa" w:w="3293"/>
            <w:tcMar>
              <w:top w:w="80" w:type="dxa"/>
              <w:start w:w="100" w:type="dxa"/>
              <w:bottom w:w="80" w:type="dxa"/>
              <w:end w:w="100" w:type="dxa"/>
            </w:tcMar>
            <w:vAlign w:val="top"/>
          </w:tcPr>
          <w:p>
            <w:r>
              <w:t>ce_plus_assessments, ce_plus_sample_items, ce_plus_test_results, ce_plus_result_evidence_links, ce_plus_result_issue_links, ce_plus_certifications</w:t>
            </w:r>
          </w:p>
        </w:tc>
        <w:tc>
          <w:tcPr>
            <w:tcW w:type="dxa" w:w="3293"/>
            <w:tcMar>
              <w:top w:w="80" w:type="dxa"/>
              <w:start w:w="100" w:type="dxa"/>
              <w:bottom w:w="80" w:type="dxa"/>
              <w:end w:w="100" w:type="dxa"/>
            </w:tcMar>
            <w:vAlign w:val="top"/>
          </w:tcPr>
          <w:p>
            <w:r>
              <w:t>Preflight/sampling/testing/findings/outcome/evidence/certificate.</w:t>
            </w:r>
          </w:p>
        </w:tc>
      </w:tr>
      <w:tr>
        <w:tc>
          <w:tcPr>
            <w:tcW w:type="dxa" w:w="3293"/>
            <w:tcMar>
              <w:top w:w="80" w:type="dxa"/>
              <w:start w:w="100" w:type="dxa"/>
              <w:bottom w:w="80" w:type="dxa"/>
              <w:end w:w="100" w:type="dxa"/>
            </w:tcMar>
            <w:vAlign w:val="top"/>
          </w:tcPr>
          <w:p>
            <w:r>
              <w:t>Shared Control Management</w:t>
            </w:r>
          </w:p>
        </w:tc>
        <w:tc>
          <w:tcPr>
            <w:tcW w:type="dxa" w:w="3293"/>
            <w:tcMar>
              <w:top w:w="80" w:type="dxa"/>
              <w:start w:w="100" w:type="dxa"/>
              <w:bottom w:w="80" w:type="dxa"/>
              <w:end w:w="100" w:type="dxa"/>
            </w:tcMar>
            <w:vAlign w:val="top"/>
          </w:tcPr>
          <w:p>
            <w:r>
              <w:t>org_controls, org_control_evidence/link, org_control_tests/runs, org_control_issues</w:t>
            </w:r>
          </w:p>
        </w:tc>
        <w:tc>
          <w:tcPr>
            <w:tcW w:type="dxa" w:w="3293"/>
            <w:tcMar>
              <w:top w:w="80" w:type="dxa"/>
              <w:start w:w="100" w:type="dxa"/>
              <w:bottom w:w="80" w:type="dxa"/>
              <w:end w:w="100" w:type="dxa"/>
            </w:tcMar>
            <w:vAlign w:val="top"/>
          </w:tcPr>
          <w:p>
            <w:r>
              <w:t>Reusable assurance and remediation context.</w:t>
            </w:r>
          </w:p>
        </w:tc>
      </w:tr>
      <w:tr>
        <w:tc>
          <w:tcPr>
            <w:tcW w:type="dxa" w:w="3293"/>
            <w:tcMar>
              <w:top w:w="80" w:type="dxa"/>
              <w:start w:w="100" w:type="dxa"/>
              <w:bottom w:w="80" w:type="dxa"/>
              <w:end w:w="100" w:type="dxa"/>
            </w:tcMar>
            <w:vAlign w:val="top"/>
          </w:tcPr>
          <w:p>
            <w:r>
              <w:t>CE assurance link tables</w:t>
            </w:r>
          </w:p>
        </w:tc>
        <w:tc>
          <w:tcPr>
            <w:tcW w:type="dxa" w:w="3293"/>
            <w:tcMar>
              <w:top w:w="80" w:type="dxa"/>
              <w:start w:w="100" w:type="dxa"/>
              <w:bottom w:w="80" w:type="dxa"/>
              <w:end w:w="100" w:type="dxa"/>
            </w:tcMar>
            <w:vAlign w:val="top"/>
          </w:tcPr>
          <w:p>
            <w:r>
              <w:t>ce_question_control_links, ce_question_evidence_links</w:t>
            </w:r>
          </w:p>
        </w:tc>
        <w:tc>
          <w:tcPr>
            <w:tcW w:type="dxa" w:w="3293"/>
            <w:tcMar>
              <w:top w:w="80" w:type="dxa"/>
              <w:start w:w="100" w:type="dxa"/>
              <w:bottom w:w="80" w:type="dxa"/>
              <w:end w:w="100" w:type="dxa"/>
            </w:tcMar>
            <w:vAlign w:val="top"/>
          </w:tcPr>
          <w:p>
            <w:r>
              <w:t>Explicit relationship between assessment questions and existing Controls/evidence.</w:t>
            </w:r>
          </w:p>
        </w:tc>
      </w:tr>
      <w:tr>
        <w:tc>
          <w:tcPr>
            <w:tcW w:type="dxa" w:w="3293"/>
            <w:tcMar>
              <w:top w:w="80" w:type="dxa"/>
              <w:start w:w="100" w:type="dxa"/>
              <w:bottom w:w="80" w:type="dxa"/>
              <w:end w:w="100" w:type="dxa"/>
            </w:tcMar>
            <w:vAlign w:val="top"/>
          </w:tcPr>
          <w:p>
            <w:r>
              <w:t>Asset / organization data</w:t>
            </w:r>
          </w:p>
        </w:tc>
        <w:tc>
          <w:tcPr>
            <w:tcW w:type="dxa" w:w="3293"/>
            <w:tcMar>
              <w:top w:w="80" w:type="dxa"/>
              <w:start w:w="100" w:type="dxa"/>
              <w:bottom w:w="80" w:type="dxa"/>
              <w:end w:w="100" w:type="dxa"/>
            </w:tcMar>
            <w:vAlign w:val="top"/>
          </w:tcPr>
          <w:p>
            <w:r>
              <w:t>assets and classification/type metadata</w:t>
            </w:r>
          </w:p>
        </w:tc>
        <w:tc>
          <w:tcPr>
            <w:tcW w:type="dxa" w:w="3293"/>
            <w:tcMar>
              <w:top w:w="80" w:type="dxa"/>
              <w:start w:w="100" w:type="dxa"/>
              <w:bottom w:w="80" w:type="dxa"/>
              <w:end w:w="100" w:type="dxa"/>
            </w:tcMar>
            <w:vAlign w:val="top"/>
          </w:tcPr>
          <w:p>
            <w:r>
              <w:t>Scope and technical population context.</w:t>
            </w:r>
          </w:p>
        </w:tc>
      </w:tr>
    </w:tbl>
    <w:p/>
    <w:p>
      <w:pPr>
        <w:pStyle w:val="Heading1"/>
      </w:pPr>
      <w:r>
        <w:t>3. Route/page inventory</w:t>
      </w:r>
    </w:p>
    <w:tbl>
      <w:tblPr>
        <w:tblStyle w:val="TableGrid"/>
        <w:tblW w:type="auto" w:w="0"/>
        <w:jc w:val="center"/>
        <w:tblLook w:firstColumn="1" w:firstRow="1" w:lastColumn="0" w:lastRow="0" w:noHBand="0" w:noVBand="1" w:val="04A0"/>
      </w:tblPr>
      <w:tblGrid>
        <w:gridCol w:w="4939"/>
        <w:gridCol w:w="4939"/>
      </w:tblGrid>
      <w:tr>
        <w:tc>
          <w:tcPr>
            <w:tcW w:type="dxa" w:w="4939"/>
            <w:shd w:fill="4B0983"/>
            <w:vAlign w:val="center"/>
            <w:tcMar>
              <w:top w:w="80" w:type="dxa"/>
              <w:start w:w="100" w:type="dxa"/>
              <w:bottom w:w="80" w:type="dxa"/>
              <w:end w:w="100" w:type="dxa"/>
            </w:tcMar>
          </w:tcPr>
          <w:p>
            <w:r>
              <w:rPr>
                <w:b/>
                <w:color w:val="FFFFFF"/>
              </w:rPr>
              <w:t>Area</w:t>
            </w:r>
          </w:p>
        </w:tc>
        <w:tc>
          <w:tcPr>
            <w:tcW w:type="dxa" w:w="4939"/>
            <w:shd w:fill="4B0983"/>
            <w:vAlign w:val="center"/>
            <w:tcMar>
              <w:top w:w="80" w:type="dxa"/>
              <w:start w:w="100" w:type="dxa"/>
              <w:bottom w:w="80" w:type="dxa"/>
              <w:end w:w="100" w:type="dxa"/>
            </w:tcMar>
          </w:tcPr>
          <w:p>
            <w:r>
              <w:rPr>
                <w:b/>
                <w:color w:val="FFFFFF"/>
              </w:rPr>
              <w:t>Routes</w:t>
            </w:r>
          </w:p>
        </w:tc>
      </w:tr>
      <w:tr>
        <w:tc>
          <w:tcPr>
            <w:tcW w:type="dxa" w:w="4939"/>
            <w:tcMar>
              <w:top w:w="80" w:type="dxa"/>
              <w:start w:w="100" w:type="dxa"/>
              <w:bottom w:w="80" w:type="dxa"/>
              <w:end w:w="100" w:type="dxa"/>
            </w:tcMar>
            <w:vAlign w:val="top"/>
          </w:tcPr>
          <w:p>
            <w:r>
              <w:t>Core assessment</w:t>
            </w:r>
          </w:p>
        </w:tc>
        <w:tc>
          <w:tcPr>
            <w:tcW w:type="dxa" w:w="4939"/>
            <w:tcMar>
              <w:top w:w="80" w:type="dxa"/>
              <w:start w:w="100" w:type="dxa"/>
              <w:bottom w:w="80" w:type="dxa"/>
              <w:end w:w="100" w:type="dxa"/>
            </w:tcMar>
            <w:vAlign w:val="top"/>
          </w:tcPr>
          <w:p>
            <w:r>
              <w:t>dashboard, scope, questionnaire, firewalls, secure_configuration, security_update_management, user_access_control, malware_protection</w:t>
            </w:r>
          </w:p>
        </w:tc>
      </w:tr>
      <w:tr>
        <w:tc>
          <w:tcPr>
            <w:tcW w:type="dxa" w:w="4939"/>
            <w:tcMar>
              <w:top w:w="80" w:type="dxa"/>
              <w:start w:w="100" w:type="dxa"/>
              <w:bottom w:w="80" w:type="dxa"/>
              <w:end w:w="100" w:type="dxa"/>
            </w:tcMar>
            <w:vAlign w:val="top"/>
          </w:tcPr>
          <w:p>
            <w:r>
              <w:t>Assurance</w:t>
            </w:r>
          </w:p>
        </w:tc>
        <w:tc>
          <w:tcPr>
            <w:tcW w:type="dxa" w:w="4939"/>
            <w:tcMar>
              <w:top w:w="80" w:type="dxa"/>
              <w:start w:w="100" w:type="dxa"/>
              <w:bottom w:w="80" w:type="dxa"/>
              <w:end w:w="100" w:type="dxa"/>
            </w:tcMar>
            <w:vAlign w:val="top"/>
          </w:tcPr>
          <w:p>
            <w:r>
              <w:t>Control Management link, remediation, readiness_review</w:t>
            </w:r>
          </w:p>
        </w:tc>
      </w:tr>
      <w:tr>
        <w:tc>
          <w:tcPr>
            <w:tcW w:type="dxa" w:w="4939"/>
            <w:tcMar>
              <w:top w:w="80" w:type="dxa"/>
              <w:start w:w="100" w:type="dxa"/>
              <w:bottom w:w="80" w:type="dxa"/>
              <w:end w:w="100" w:type="dxa"/>
            </w:tcMar>
            <w:vAlign w:val="top"/>
          </w:tcPr>
          <w:p>
            <w:r>
              <w:t>Certification prep</w:t>
            </w:r>
          </w:p>
        </w:tc>
        <w:tc>
          <w:tcPr>
            <w:tcW w:type="dxa" w:w="4939"/>
            <w:tcMar>
              <w:top w:w="80" w:type="dxa"/>
              <w:start w:w="100" w:type="dxa"/>
              <w:bottom w:w="80" w:type="dxa"/>
              <w:end w:w="100" w:type="dxa"/>
            </w:tcMar>
            <w:vAlign w:val="top"/>
          </w:tcPr>
          <w:p>
            <w:r>
              <w:t>declaration, submission_review, certification</w:t>
            </w:r>
          </w:p>
        </w:tc>
      </w:tr>
      <w:tr>
        <w:tc>
          <w:tcPr>
            <w:tcW w:type="dxa" w:w="4939"/>
            <w:tcMar>
              <w:top w:w="80" w:type="dxa"/>
              <w:start w:w="100" w:type="dxa"/>
              <w:bottom w:w="80" w:type="dxa"/>
              <w:end w:w="100" w:type="dxa"/>
            </w:tcMar>
            <w:vAlign w:val="top"/>
          </w:tcPr>
          <w:p>
            <w:r>
              <w:t>Cyber Essentials Plus</w:t>
            </w:r>
          </w:p>
        </w:tc>
        <w:tc>
          <w:tcPr>
            <w:tcW w:type="dxa" w:w="4939"/>
            <w:tcMar>
              <w:top w:w="80" w:type="dxa"/>
              <w:start w:w="100" w:type="dxa"/>
              <w:bottom w:w="80" w:type="dxa"/>
              <w:end w:w="100" w:type="dxa"/>
            </w:tcMar>
            <w:vAlign w:val="top"/>
          </w:tcPr>
          <w:p>
            <w:r>
              <w:t>plus_dashboard, plus_preflight, plus_sampling, plus_testing, plus_findings, plus_report, plus_evidence_pack, plus_certification</w:t>
            </w:r>
          </w:p>
        </w:tc>
      </w:tr>
    </w:tbl>
    <w:p/>
    <w:p>
      <w:pPr>
        <w:pStyle w:val="Heading1"/>
      </w:pPr>
      <w:r>
        <w:t>4. Questionnaire engine</w:t>
      </w:r>
    </w:p>
    <w:p>
      <w:r>
        <w:t>Questionnaire presentation and behaviour are separated into `_ce_questions.php`, `_ce_question_ui.php`, `_ce_workspace.php`, `questionnaire.js` and the save API. The engine supports conditional/gateway questions, completion tracking, automated evaluation for deterministic questions and a human-review queue for narrative responses that should not be reduced to a simplistic boolean rule.</w:t>
      </w:r>
    </w:p>
    <w:p>
      <w:pPr>
        <w:pStyle w:val="ListBullet"/>
      </w:pPr>
      <w:r>
        <w:t>Persist responses per assessment/question.</w:t>
      </w:r>
    </w:p>
    <w:p>
      <w:pPr>
        <w:pStyle w:val="ListBullet"/>
      </w:pPr>
      <w:r>
        <w:t>Do not count conditional questions in the denominator when their condition does not apply.</w:t>
      </w:r>
    </w:p>
    <w:p>
      <w:pPr>
        <w:pStyle w:val="ListBullet"/>
      </w:pPr>
      <w:r>
        <w:t>Keep automatic-fail/evaluation logic explicit and versioned.</w:t>
      </w:r>
    </w:p>
    <w:p>
      <w:pPr>
        <w:pStyle w:val="ListBullet"/>
      </w:pPr>
      <w:r>
        <w:t>Preserve user narrative/notes independently from calculated readiness.</w:t>
      </w:r>
    </w:p>
    <w:p>
      <w:pPr>
        <w:pStyle w:val="Heading1"/>
      </w:pPr>
      <w:r>
        <w:t>5. Scope model</w:t>
      </w:r>
    </w:p>
    <w:p>
      <w:r>
        <w:t>Scope is persisted separately from the questionnaire and is available through a dedicated page/modal/API. This avoids interpreting questionnaire answers without the assessment boundary that gives them meaning. Scope objects should retain source type/id/labels where they originate from Asset/organisation data and should permit descriptive/exclusion metadata for partial scope.</w:t>
      </w:r>
    </w:p>
    <w:p>
      <w:pPr>
        <w:pStyle w:val="Heading1"/>
      </w:pPr>
      <w:r>
        <w:t>6. Readiness and remediation</w:t>
      </w:r>
    </w:p>
    <w:p>
      <w:r>
        <w:t>Readiness combines questionnaire completion, evaluated failures and human-review state. Remediation is a work surface, not a replacement for the authoritative questionnaire/configuration. Fix the underlying response/control/evidence/finding, then recalculate/refresh readiness.</w:t>
      </w:r>
    </w:p>
    <w:p>
      <w:pPr>
        <w:pStyle w:val="Heading1"/>
      </w:pPr>
      <w:r>
        <w:t>7. Declaration/submission/certification lifecycle</w:t>
      </w:r>
    </w:p>
    <w:p>
      <w:pPr>
        <w:jc w:val="center"/>
      </w:pPr>
      <w:r>
        <w:rPr>
          <w:b/>
          <w:color w:val="4B0983"/>
        </w:rPr>
        <w:t>Working assessment</w:t>
      </w:r>
      <w:r>
        <w:t xml:space="preserve">  →  </w:t>
      </w:r>
      <w:r>
        <w:rPr>
          <w:b/>
          <w:color w:val="2E203C"/>
        </w:rPr>
        <w:t>Management declaration</w:t>
      </w:r>
      <w:r>
        <w:t xml:space="preserve">  →  </w:t>
      </w:r>
      <w:r>
        <w:rPr>
          <w:b/>
          <w:color w:val="4B0983"/>
        </w:rPr>
        <w:t>Submission snapshot</w:t>
      </w:r>
      <w:r>
        <w:t xml:space="preserve">  →  </w:t>
      </w:r>
      <w:r>
        <w:rPr>
          <w:b/>
          <w:color w:val="2E203C"/>
        </w:rPr>
        <w:t>Submission review</w:t>
      </w:r>
      <w:r>
        <w:t xml:space="preserve">  →  </w:t>
      </w:r>
      <w:r>
        <w:rPr>
          <w:b/>
          <w:color w:val="4B0983"/>
        </w:rPr>
        <w:t>External decision</w:t>
      </w:r>
      <w:r>
        <w:t xml:space="preserve">  →  </w:t>
      </w:r>
      <w:r>
        <w:rPr>
          <w:b/>
          <w:color w:val="2E203C"/>
        </w:rPr>
        <w:t>Certificate / renewal</w:t>
      </w:r>
    </w:p>
    <w:p/>
    <w:p>
      <w:r>
        <w:t>Submission snapshots should provide an immutable/prepared view of what management intended to submit. Certification records are lifecycle records of the external result; they must not be inferred solely from an internal readiness score.</w:t>
      </w:r>
    </w:p>
    <w:p>
      <w:pPr>
        <w:pStyle w:val="Heading1"/>
      </w:pPr>
      <w:r>
        <w:t>8. Cyber Essentials Plus architecture</w:t>
      </w:r>
    </w:p>
    <w:p>
      <w:r>
        <w:t>The Plus module deliberately separates preflight, sampling, individual test results, findings/remediation, outcome, evidence pack and certificate. This mirrors the assurance lifecycle and preserves technical test history rather than storing only a final pass/fail.</w:t>
      </w:r>
    </w:p>
    <w:tbl>
      <w:tblPr>
        <w:tblStyle w:val="TableGrid"/>
        <w:tblW w:type="auto" w:w="0"/>
        <w:jc w:val="center"/>
        <w:tblLook w:firstColumn="1" w:firstRow="1" w:lastColumn="0" w:lastRow="0" w:noHBand="0" w:noVBand="1" w:val="04A0"/>
      </w:tblPr>
      <w:tblGrid>
        <w:gridCol w:w="4939"/>
        <w:gridCol w:w="4939"/>
      </w:tblGrid>
      <w:tr>
        <w:tc>
          <w:tcPr>
            <w:tcW w:type="dxa" w:w="4939"/>
            <w:shd w:fill="4B0983"/>
            <w:vAlign w:val="center"/>
            <w:tcMar>
              <w:top w:w="80" w:type="dxa"/>
              <w:start w:w="100" w:type="dxa"/>
              <w:bottom w:w="80" w:type="dxa"/>
              <w:end w:w="100" w:type="dxa"/>
            </w:tcMar>
          </w:tcPr>
          <w:p>
            <w:r>
              <w:rPr>
                <w:b/>
                <w:color w:val="FFFFFF"/>
              </w:rPr>
              <w:t>Plus entity</w:t>
            </w:r>
          </w:p>
        </w:tc>
        <w:tc>
          <w:tcPr>
            <w:tcW w:type="dxa" w:w="4939"/>
            <w:shd w:fill="4B0983"/>
            <w:vAlign w:val="center"/>
            <w:tcMar>
              <w:top w:w="80" w:type="dxa"/>
              <w:start w:w="100" w:type="dxa"/>
              <w:bottom w:w="80" w:type="dxa"/>
              <w:end w:w="100" w:type="dxa"/>
            </w:tcMar>
          </w:tcPr>
          <w:p>
            <w:r>
              <w:rPr>
                <w:b/>
                <w:color w:val="FFFFFF"/>
              </w:rPr>
              <w:t>Purpose</w:t>
            </w:r>
          </w:p>
        </w:tc>
      </w:tr>
      <w:tr>
        <w:tc>
          <w:tcPr>
            <w:tcW w:type="dxa" w:w="4939"/>
            <w:tcMar>
              <w:top w:w="80" w:type="dxa"/>
              <w:start w:w="100" w:type="dxa"/>
              <w:bottom w:w="80" w:type="dxa"/>
              <w:end w:w="100" w:type="dxa"/>
            </w:tcMar>
            <w:vAlign w:val="top"/>
          </w:tcPr>
          <w:p>
            <w:r>
              <w:t>ce_plus_assessments</w:t>
            </w:r>
          </w:p>
        </w:tc>
        <w:tc>
          <w:tcPr>
            <w:tcW w:type="dxa" w:w="4939"/>
            <w:tcMar>
              <w:top w:w="80" w:type="dxa"/>
              <w:start w:w="100" w:type="dxa"/>
              <w:bottom w:w="80" w:type="dxa"/>
              <w:end w:w="100" w:type="dxa"/>
            </w:tcMar>
            <w:vAlign w:val="top"/>
          </w:tcPr>
          <w:p>
            <w:r>
              <w:t>Technical-assurance engagement/header and state.</w:t>
            </w:r>
          </w:p>
        </w:tc>
      </w:tr>
      <w:tr>
        <w:tc>
          <w:tcPr>
            <w:tcW w:type="dxa" w:w="4939"/>
            <w:tcMar>
              <w:top w:w="80" w:type="dxa"/>
              <w:start w:w="100" w:type="dxa"/>
              <w:bottom w:w="80" w:type="dxa"/>
              <w:end w:w="100" w:type="dxa"/>
            </w:tcMar>
            <w:vAlign w:val="top"/>
          </w:tcPr>
          <w:p>
            <w:r>
              <w:t>ce_plus_sample_items</w:t>
            </w:r>
          </w:p>
        </w:tc>
        <w:tc>
          <w:tcPr>
            <w:tcW w:type="dxa" w:w="4939"/>
            <w:tcMar>
              <w:top w:w="80" w:type="dxa"/>
              <w:start w:w="100" w:type="dxa"/>
              <w:bottom w:w="80" w:type="dxa"/>
              <w:end w:w="100" w:type="dxa"/>
            </w:tcMar>
            <w:vAlign w:val="top"/>
          </w:tcPr>
          <w:p>
            <w:r>
              <w:t>Population/sample selected for testing.</w:t>
            </w:r>
          </w:p>
        </w:tc>
      </w:tr>
      <w:tr>
        <w:tc>
          <w:tcPr>
            <w:tcW w:type="dxa" w:w="4939"/>
            <w:tcMar>
              <w:top w:w="80" w:type="dxa"/>
              <w:start w:w="100" w:type="dxa"/>
              <w:bottom w:w="80" w:type="dxa"/>
              <w:end w:w="100" w:type="dxa"/>
            </w:tcMar>
            <w:vAlign w:val="top"/>
          </w:tcPr>
          <w:p>
            <w:r>
              <w:t>ce_plus_test_results</w:t>
            </w:r>
          </w:p>
        </w:tc>
        <w:tc>
          <w:tcPr>
            <w:tcW w:type="dxa" w:w="4939"/>
            <w:tcMar>
              <w:top w:w="80" w:type="dxa"/>
              <w:start w:w="100" w:type="dxa"/>
              <w:bottom w:w="80" w:type="dxa"/>
              <w:end w:w="100" w:type="dxa"/>
            </w:tcMar>
            <w:vAlign w:val="top"/>
          </w:tcPr>
          <w:p>
            <w:r>
              <w:t>Individual technical tests/results and remediation/retest state.</w:t>
            </w:r>
          </w:p>
        </w:tc>
      </w:tr>
      <w:tr>
        <w:tc>
          <w:tcPr>
            <w:tcW w:type="dxa" w:w="4939"/>
            <w:tcMar>
              <w:top w:w="80" w:type="dxa"/>
              <w:start w:w="100" w:type="dxa"/>
              <w:bottom w:w="80" w:type="dxa"/>
              <w:end w:w="100" w:type="dxa"/>
            </w:tcMar>
            <w:vAlign w:val="top"/>
          </w:tcPr>
          <w:p>
            <w:r>
              <w:t>ce_plus_result_evidence_links</w:t>
            </w:r>
          </w:p>
        </w:tc>
        <w:tc>
          <w:tcPr>
            <w:tcW w:type="dxa" w:w="4939"/>
            <w:tcMar>
              <w:top w:w="80" w:type="dxa"/>
              <w:start w:w="100" w:type="dxa"/>
              <w:bottom w:w="80" w:type="dxa"/>
              <w:end w:w="100" w:type="dxa"/>
            </w:tcMar>
            <w:vAlign w:val="top"/>
          </w:tcPr>
          <w:p>
            <w:r>
              <w:t>Evidence attached to specific test results.</w:t>
            </w:r>
          </w:p>
        </w:tc>
      </w:tr>
      <w:tr>
        <w:tc>
          <w:tcPr>
            <w:tcW w:type="dxa" w:w="4939"/>
            <w:tcMar>
              <w:top w:w="80" w:type="dxa"/>
              <w:start w:w="100" w:type="dxa"/>
              <w:bottom w:w="80" w:type="dxa"/>
              <w:end w:w="100" w:type="dxa"/>
            </w:tcMar>
            <w:vAlign w:val="top"/>
          </w:tcPr>
          <w:p>
            <w:r>
              <w:t>ce_plus_result_issue_links</w:t>
            </w:r>
          </w:p>
        </w:tc>
        <w:tc>
          <w:tcPr>
            <w:tcW w:type="dxa" w:w="4939"/>
            <w:tcMar>
              <w:top w:w="80" w:type="dxa"/>
              <w:start w:w="100" w:type="dxa"/>
              <w:bottom w:w="80" w:type="dxa"/>
              <w:end w:w="100" w:type="dxa"/>
            </w:tcMar>
            <w:vAlign w:val="top"/>
          </w:tcPr>
          <w:p>
            <w:r>
              <w:t>Control/issue traceability for failures.</w:t>
            </w:r>
          </w:p>
        </w:tc>
      </w:tr>
      <w:tr>
        <w:tc>
          <w:tcPr>
            <w:tcW w:type="dxa" w:w="4939"/>
            <w:tcMar>
              <w:top w:w="80" w:type="dxa"/>
              <w:start w:w="100" w:type="dxa"/>
              <w:bottom w:w="80" w:type="dxa"/>
              <w:end w:w="100" w:type="dxa"/>
            </w:tcMar>
            <w:vAlign w:val="top"/>
          </w:tcPr>
          <w:p>
            <w:r>
              <w:t>ce_plus_certifications</w:t>
            </w:r>
          </w:p>
        </w:tc>
        <w:tc>
          <w:tcPr>
            <w:tcW w:type="dxa" w:w="4939"/>
            <w:tcMar>
              <w:top w:w="80" w:type="dxa"/>
              <w:start w:w="100" w:type="dxa"/>
              <w:bottom w:w="80" w:type="dxa"/>
              <w:end w:w="100" w:type="dxa"/>
            </w:tcMar>
            <w:vAlign w:val="top"/>
          </w:tcPr>
          <w:p>
            <w:r>
              <w:t>Authoritative external certificate lifecycle data entered into PurpleWASP.</w:t>
            </w:r>
          </w:p>
        </w:tc>
      </w:tr>
    </w:tbl>
    <w:p/>
    <w:p>
      <w:pPr>
        <w:pStyle w:val="Heading1"/>
      </w:pPr>
      <w:r>
        <w:t>9. Shared Control assurance</w:t>
      </w:r>
    </w:p>
    <w:p>
      <w:r>
        <w:t>Cyber Essentials should reuse organisation Controls and evidence where possible. Question-to-Control/evidence link tables provide framework-specific traceability without copying the underlying assurance records. This supports cross-framework reuse and allows a CE weakness to be followed into the same Control issue used by ISO, SOC 2 or NIST.</w:t>
      </w:r>
    </w:p>
    <w:p>
      <w:pPr>
        <w:pStyle w:val="Heading1"/>
      </w:pPr>
      <w:r>
        <w:t>10. Permissions and write APIs</w:t>
      </w:r>
    </w:p>
    <w:p>
      <w:r>
        <w:t>Mutation is performed through explicit APIs including save_scope, save_questionnaire, save_readiness_decision, save_declaration, create_submission_snapshot, update_submission, save_certification, start_renewal and the CE+ sample/result/assessment/certification APIs. Keep server-side capability checks and CSRF validation authoritative; UI disabled states are not sufficient security controls.</w:t>
      </w:r>
    </w:p>
    <w:p>
      <w:pPr>
        <w:pStyle w:val="Heading1"/>
      </w:pPr>
      <w:r>
        <w:t>11. Readiness score boundary</w:t>
      </w:r>
    </w:p>
    <w:p>
      <w:r>
        <w:t>Dashboard scores and Drivers / Improve Score are PurpleWASP internal preparation indicators. They should identify actionable causes such as incomplete answers, automatic-fail gaps, missing evidence, unresolved human review, failed CE+ tests or open findings. Never label the score as the Cyber Essentials certification score.</w:t>
      </w:r>
    </w:p>
    <w:p>
      <w:pPr>
        <w:pStyle w:val="Heading1"/>
      </w:pPr>
      <w:r>
        <w:t>12. Failure modes</w:t>
      </w:r>
    </w:p>
    <w:tbl>
      <w:tblPr>
        <w:tblStyle w:val="TableGrid"/>
        <w:tblW w:type="auto" w:w="0"/>
        <w:jc w:val="center"/>
        <w:tblLook w:firstColumn="1" w:firstRow="1" w:lastColumn="0" w:lastRow="0" w:noHBand="0" w:noVBand="1" w:val="04A0"/>
      </w:tblPr>
      <w:tblGrid>
        <w:gridCol w:w="4939"/>
        <w:gridCol w:w="4939"/>
      </w:tblGrid>
      <w:tr>
        <w:tc>
          <w:tcPr>
            <w:tcW w:type="dxa" w:w="4939"/>
            <w:shd w:fill="4B0983"/>
            <w:vAlign w:val="center"/>
            <w:tcMar>
              <w:top w:w="80" w:type="dxa"/>
              <w:start w:w="100" w:type="dxa"/>
              <w:bottom w:w="80" w:type="dxa"/>
              <w:end w:w="100" w:type="dxa"/>
            </w:tcMar>
          </w:tcPr>
          <w:p>
            <w:r>
              <w:rPr>
                <w:b/>
                <w:color w:val="FFFFFF"/>
              </w:rPr>
              <w:t>Symptom</w:t>
            </w:r>
          </w:p>
        </w:tc>
        <w:tc>
          <w:tcPr>
            <w:tcW w:type="dxa" w:w="4939"/>
            <w:shd w:fill="4B0983"/>
            <w:vAlign w:val="center"/>
            <w:tcMar>
              <w:top w:w="80" w:type="dxa"/>
              <w:start w:w="100" w:type="dxa"/>
              <w:bottom w:w="80" w:type="dxa"/>
              <w:end w:w="100" w:type="dxa"/>
            </w:tcMar>
          </w:tcPr>
          <w:p>
            <w:r>
              <w:rPr>
                <w:b/>
                <w:color w:val="FFFFFF"/>
              </w:rPr>
              <w:t>Check</w:t>
            </w:r>
          </w:p>
        </w:tc>
      </w:tr>
      <w:tr>
        <w:tc>
          <w:tcPr>
            <w:tcW w:type="dxa" w:w="4939"/>
            <w:tcMar>
              <w:top w:w="80" w:type="dxa"/>
              <w:start w:w="100" w:type="dxa"/>
              <w:bottom w:w="80" w:type="dxa"/>
              <w:end w:w="100" w:type="dxa"/>
            </w:tcMar>
            <w:vAlign w:val="top"/>
          </w:tcPr>
          <w:p>
            <w:r>
              <w:t>Question completion does not reach 100%</w:t>
            </w:r>
          </w:p>
        </w:tc>
        <w:tc>
          <w:tcPr>
            <w:tcW w:type="dxa" w:w="4939"/>
            <w:tcMar>
              <w:top w:w="80" w:type="dxa"/>
              <w:start w:w="100" w:type="dxa"/>
              <w:bottom w:w="80" w:type="dxa"/>
              <w:end w:w="100" w:type="dxa"/>
            </w:tcMar>
            <w:vAlign w:val="top"/>
          </w:tcPr>
          <w:p>
            <w:r>
              <w:t>Conditional applicability, unanswered applicable questions, version mismatch.</w:t>
            </w:r>
          </w:p>
        </w:tc>
      </w:tr>
      <w:tr>
        <w:tc>
          <w:tcPr>
            <w:tcW w:type="dxa" w:w="4939"/>
            <w:tcMar>
              <w:top w:w="80" w:type="dxa"/>
              <w:start w:w="100" w:type="dxa"/>
              <w:bottom w:w="80" w:type="dxa"/>
              <w:end w:w="100" w:type="dxa"/>
            </w:tcMar>
            <w:vAlign w:val="top"/>
          </w:tcPr>
          <w:p>
            <w:r>
              <w:t>Readiness low despite complete questionnaire</w:t>
            </w:r>
          </w:p>
        </w:tc>
        <w:tc>
          <w:tcPr>
            <w:tcW w:type="dxa" w:w="4939"/>
            <w:tcMar>
              <w:top w:w="80" w:type="dxa"/>
              <w:start w:w="100" w:type="dxa"/>
              <w:bottom w:w="80" w:type="dxa"/>
              <w:end w:w="100" w:type="dxa"/>
            </w:tcMar>
            <w:vAlign w:val="top"/>
          </w:tcPr>
          <w:p>
            <w:r>
              <w:t>Automatic-fail/evaluated gaps or human-review queue.</w:t>
            </w:r>
          </w:p>
        </w:tc>
      </w:tr>
      <w:tr>
        <w:tc>
          <w:tcPr>
            <w:tcW w:type="dxa" w:w="4939"/>
            <w:tcMar>
              <w:top w:w="80" w:type="dxa"/>
              <w:start w:w="100" w:type="dxa"/>
              <w:bottom w:w="80" w:type="dxa"/>
              <w:end w:w="100" w:type="dxa"/>
            </w:tcMar>
            <w:vAlign w:val="top"/>
          </w:tcPr>
          <w:p>
            <w:r>
              <w:t>Plus preflight blocked</w:t>
            </w:r>
          </w:p>
        </w:tc>
        <w:tc>
          <w:tcPr>
            <w:tcW w:type="dxa" w:w="4939"/>
            <w:tcMar>
              <w:top w:w="80" w:type="dxa"/>
              <w:start w:w="100" w:type="dxa"/>
              <w:bottom w:w="80" w:type="dxa"/>
              <w:end w:w="100" w:type="dxa"/>
            </w:tcMar>
            <w:vAlign w:val="top"/>
          </w:tcPr>
          <w:p>
            <w:r>
              <w:t>Base CE assessment/scope/declaration/certificate prerequisites or incomplete technical state.</w:t>
            </w:r>
          </w:p>
        </w:tc>
      </w:tr>
      <w:tr>
        <w:tc>
          <w:tcPr>
            <w:tcW w:type="dxa" w:w="4939"/>
            <w:tcMar>
              <w:top w:w="80" w:type="dxa"/>
              <w:start w:w="100" w:type="dxa"/>
              <w:bottom w:w="80" w:type="dxa"/>
              <w:end w:w="100" w:type="dxa"/>
            </w:tcMar>
            <w:vAlign w:val="top"/>
          </w:tcPr>
          <w:p>
            <w:r>
              <w:t>Evidence linked but Plus finding open</w:t>
            </w:r>
          </w:p>
        </w:tc>
        <w:tc>
          <w:tcPr>
            <w:tcW w:type="dxa" w:w="4939"/>
            <w:tcMar>
              <w:top w:w="80" w:type="dxa"/>
              <w:start w:w="100" w:type="dxa"/>
              <w:bottom w:w="80" w:type="dxa"/>
              <w:end w:w="100" w:type="dxa"/>
            </w:tcMar>
            <w:vAlign w:val="top"/>
          </w:tcPr>
          <w:p>
            <w:r>
              <w:t>Evidence does not automatically close a failed test/finding; remediation/retest state must be explicit.</w:t>
            </w:r>
          </w:p>
        </w:tc>
      </w:tr>
      <w:tr>
        <w:tc>
          <w:tcPr>
            <w:tcW w:type="dxa" w:w="4939"/>
            <w:tcMar>
              <w:top w:w="80" w:type="dxa"/>
              <w:start w:w="100" w:type="dxa"/>
              <w:bottom w:w="80" w:type="dxa"/>
              <w:end w:w="100" w:type="dxa"/>
            </w:tcMar>
            <w:vAlign w:val="top"/>
          </w:tcPr>
          <w:p>
            <w:r>
              <w:t>Certificate state inconsistent</w:t>
            </w:r>
          </w:p>
        </w:tc>
        <w:tc>
          <w:tcPr>
            <w:tcW w:type="dxa" w:w="4939"/>
            <w:tcMar>
              <w:top w:w="80" w:type="dxa"/>
              <w:start w:w="100" w:type="dxa"/>
              <w:bottom w:w="80" w:type="dxa"/>
              <w:end w:w="100" w:type="dxa"/>
            </w:tcMar>
            <w:vAlign w:val="top"/>
          </w:tcPr>
          <w:p>
            <w:r>
              <w:t>Confirm external certificate record, renewal linkage and submission snapshot; do not infer from readiness.</w:t>
            </w:r>
          </w:p>
        </w:tc>
      </w:tr>
      <w:tr>
        <w:tc>
          <w:tcPr>
            <w:tcW w:type="dxa" w:w="4939"/>
            <w:tcMar>
              <w:top w:w="80" w:type="dxa"/>
              <w:start w:w="100" w:type="dxa"/>
              <w:bottom w:w="80" w:type="dxa"/>
              <w:end w:w="100" w:type="dxa"/>
            </w:tcMar>
            <w:vAlign w:val="top"/>
          </w:tcPr>
          <w:p>
            <w:r>
              <w:t>Unexpected scope population</w:t>
            </w:r>
          </w:p>
        </w:tc>
        <w:tc>
          <w:tcPr>
            <w:tcW w:type="dxa" w:w="4939"/>
            <w:tcMar>
              <w:top w:w="80" w:type="dxa"/>
              <w:start w:w="100" w:type="dxa"/>
              <w:bottom w:w="80" w:type="dxa"/>
              <w:end w:w="100" w:type="dxa"/>
            </w:tcMar>
            <w:vAlign w:val="top"/>
          </w:tcPr>
          <w:p>
            <w:r>
              <w:t>Check asset source availability and partial-scope inclusion/exclusion records.</w:t>
            </w:r>
          </w:p>
        </w:tc>
      </w:tr>
    </w:tbl>
    <w:p/>
    <w:p>
      <w:pPr>
        <w:pStyle w:val="Heading1"/>
      </w:pPr>
      <w:r>
        <w:t>13. Acceptance/regression test</w:t>
      </w:r>
    </w:p>
    <w:p>
      <w:pPr>
        <w:pStyle w:val="ListBullet"/>
      </w:pPr>
      <w:r>
        <w:t>Create a new CE assessment and scope; confirm question-set version and conditional logic.</w:t>
      </w:r>
    </w:p>
    <w:p>
      <w:pPr>
        <w:pStyle w:val="ListBullet"/>
      </w:pPr>
      <w:r>
        <w:t>Complete representative questions including an automatic-fail condition and human-review narrative; verify readiness drivers.</w:t>
      </w:r>
    </w:p>
    <w:p>
      <w:pPr>
        <w:pStyle w:val="ListBullet"/>
      </w:pPr>
      <w:r>
        <w:t>Resolve the underlying gap and confirm score/driver update.</w:t>
      </w:r>
    </w:p>
    <w:p>
      <w:pPr>
        <w:pStyle w:val="ListBullet"/>
      </w:pPr>
      <w:r>
        <w:t>Save declaration and submission snapshot; verify immutable/prepared state.</w:t>
      </w:r>
    </w:p>
    <w:p>
      <w:pPr>
        <w:pStyle w:val="ListBullet"/>
      </w:pPr>
      <w:r>
        <w:t>Record certificate and start renewal.</w:t>
      </w:r>
    </w:p>
    <w:p>
      <w:pPr>
        <w:pStyle w:val="ListBullet"/>
      </w:pPr>
      <w:r>
        <w:t>Create CE+ assessment; run preflight, sampling, pass/fail tests, findings, evidence links and retest.</w:t>
      </w:r>
    </w:p>
    <w:p>
      <w:pPr>
        <w:pStyle w:val="ListBullet"/>
      </w:pPr>
      <w:r>
        <w:t>Generate/inspect Plus evidence pack and outcome view.</w:t>
      </w:r>
    </w:p>
    <w:p>
      <w:pPr>
        <w:pStyle w:val="ListBullet"/>
      </w:pPr>
      <w:r>
        <w:t>Regression-check SOC 2, ISO 27001, NIST and Control Management.</w:t>
      </w:r>
    </w:p>
    <w:p>
      <w:pPr>
        <w:pStyle w:val="Heading1"/>
      </w:pPr>
      <w:r>
        <w:t>14. Maintenance/versioning guidance</w:t>
      </w:r>
    </w:p>
    <w:p>
      <w:pPr>
        <w:pStyle w:val="ListBullet"/>
      </w:pPr>
      <w:r>
        <w:t>Treat annual NCSC/IASME changes as versioned questionnaire/rule changes.</w:t>
      </w:r>
    </w:p>
    <w:p>
      <w:pPr>
        <w:pStyle w:val="ListBullet"/>
      </w:pPr>
      <w:r>
        <w:t>Keep prior assessments bound to the question/rules version under which they were created.</w:t>
      </w:r>
    </w:p>
    <w:p>
      <w:pPr>
        <w:pStyle w:val="ListBullet"/>
      </w:pPr>
      <w:r>
        <w:t>Do not rewrite historical responses when Danzell is superseded.</w:t>
      </w:r>
    </w:p>
    <w:p>
      <w:pPr>
        <w:pStyle w:val="ListBullet"/>
      </w:pPr>
      <w:r>
        <w:t>When external Plus test methodology changes, version test definitions/evaluation while retaining historical run records.</w:t>
      </w:r>
    </w:p>
    <w:p>
      <w:pPr>
        <w:pStyle w:val="ListBullet"/>
      </w:pPr>
      <w:r>
        <w:t>Update Help/Resources and product text whenever current scheme version/date changes.</w:t>
      </w:r>
    </w:p>
    <w:p>
      <w:pPr>
        <w:pStyle w:val="Heading1"/>
      </w:pPr>
      <w:r>
        <w:t>References and source baseline</w:t>
      </w:r>
    </w:p>
    <w:p>
      <w:r>
        <w:t>PurpleWASP product baseline: current resource package, Compliance modules, Control Management integration, and the NIST CSF 2.0 v1 revised database / v2 UI packages supplied for this documentation set.</w:t>
      </w:r>
    </w:p>
    <w:p>
      <w:r>
        <w:rPr>
          <w:b/>
        </w:rPr>
        <w:t xml:space="preserve">1. NCSC — Cyber Essentials resources. </w:t>
      </w:r>
      <w:r>
        <w:t>https://www.ncsc.gov.uk/cyberessentials/resources</w:t>
      </w:r>
    </w:p>
    <w:p>
      <w:r>
        <w:rPr>
          <w:b/>
        </w:rPr>
        <w:t xml:space="preserve">2. NCSC — Requirements for IT Infrastructure v3.3. </w:t>
      </w:r>
      <w:r>
        <w:t>https://www.ncsc.gov.uk/files/cyber-essentials-requirements-for-it-infrastructure-v3-3.pdf</w:t>
      </w:r>
    </w:p>
    <w:p>
      <w:r>
        <w:rPr>
          <w:b/>
        </w:rPr>
        <w:t xml:space="preserve">3. IASME — Danzell question set preview. </w:t>
      </w:r>
      <w:r>
        <w:t>https://iasme.co.uk/cyber-essentials/preview-the-self-assessment-questions-for-cyber-essentials/</w:t>
      </w:r>
    </w:p>
    <w:p>
      <w:r>
        <w:rPr>
          <w:b/>
        </w:rPr>
        <w:t xml:space="preserve">4. NCSC — CE Plus Test Specification v3.2. </w:t>
      </w:r>
      <w:r>
        <w:t>https://www.ncsc.gov.uk/files/cyber-essentials-plus-test-specification-v3-2.pdf</w:t>
      </w:r>
    </w:p>
    <w:p>
      <w:r>
        <w:rPr>
          <w:b/>
        </w:rPr>
        <w:t xml:space="preserve">5. IASME — 2026 scheme changes. </w:t>
      </w:r>
      <w:r>
        <w:t>https://iasme.co.uk/articles/important-update-changes-to-cyber-essentials-for-april-2026/</w:t>
      </w:r>
    </w:p>
    <w:p>
      <w:r>
        <w:t>External sources were checked against the public material available on 18 September 2026. Framework and certification schemes evolve; confirm the current version before a new assessment, examination or certification cycle.</w:t>
      </w:r>
    </w:p>
    <w:sectPr w:rsidR="00FC693F" w:rsidRPr="0006063C" w:rsidSect="00034616">
      <w:headerReference w:type="default" r:id="rId9"/>
      <w:footerReference w:type="default" r:id="rId10"/>
      <w:pgSz w:w="12240" w:h="15840"/>
      <w:pgMar w:top="1080"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WSmall"/>
      <w:jc w:val="right"/>
    </w:pP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WSmall"/>
      <w:jc w:val="right"/>
    </w:pPr>
    <w:r>
      <w:t>PurpleWASP  |  Framework Documentation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222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4B0983"/>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2E203C"/>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4B098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2E203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WSmall">
    <w:name w:val="PW Small"/>
    <w:rPr>
      <w:rFonts w:ascii="Arial" w:hAnsi="Arial"/>
      <w:color w:val="666666"/>
      <w:sz w:val="16"/>
    </w:rPr>
  </w:style>
  <w:style w:type="paragraph" w:customStyle="1" w:styleId="PWCallout">
    <w:name w:val="PW Callout"/>
    <w:rPr>
      <w:rFonts w:ascii="Arial" w:hAnsi="Arial"/>
      <w:b/>
      <w:color w:val="2E203C"/>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