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4B0983"/>
          <w:sz w:val="28"/>
        </w:rPr>
        <w:t>PURPLEWASP</w:t>
      </w:r>
    </w:p>
    <w:p>
      <w:pPr>
        <w:pStyle w:val="Title"/>
        <w:jc w:val="center"/>
      </w:pPr>
      <w:r>
        <w:t>CIS Controls v8.1 Technical Implementation Guide</w:t>
      </w:r>
    </w:p>
    <w:p>
      <w:pPr>
        <w:jc w:val="center"/>
      </w:pPr>
      <w:r>
        <w:rPr>
          <w:color w:val="666666"/>
          <w:sz w:val="26"/>
        </w:rPr>
        <w:t>PurpleWASP catalogue mappings, programme persistence, Safeguard workspaces, assurance derivation and readiness integration</w:t>
      </w:r>
    </w:p>
    <w:p/>
    <w:tbl>
      <w:tblPr>
        <w:tblW w:type="auto" w:w="0"/>
        <w:jc w:val="center"/>
        <w:tblLayout w:type="autofit"/>
        <w:tblLook w:firstColumn="1" w:firstRow="1" w:lastColumn="0" w:lastRow="0" w:noHBand="0" w:noVBand="1" w:val="04A0"/>
      </w:tblPr>
      <w:tblGrid>
        <w:gridCol w:w="4939"/>
        <w:gridCol w:w="4939"/>
      </w:tblGrid>
      <w:tr>
        <w:tc>
          <w:tcPr>
            <w:tcW w:type="dxa" w:w="4939"/>
            <w:shd w:fill="F3EDF7"/>
            <w:tcMar>
              <w:top w:w="80" w:type="dxa"/>
              <w:start w:w="100" w:type="dxa"/>
              <w:bottom w:w="80" w:type="dxa"/>
              <w:end w:w="100" w:type="dxa"/>
            </w:tcMar>
          </w:tcPr>
          <w:p>
            <w:r>
              <w:rPr>
                <w:b/>
              </w:rPr>
              <w:t>Audience</w:t>
            </w:r>
          </w:p>
        </w:tc>
        <w:tc>
          <w:tcPr>
            <w:tcW w:type="dxa" w:w="4939"/>
            <w:tcMar>
              <w:top w:w="80" w:type="dxa"/>
              <w:start w:w="100" w:type="dxa"/>
              <w:bottom w:w="80" w:type="dxa"/>
              <w:end w:w="100" w:type="dxa"/>
            </w:tcMar>
          </w:tcPr>
          <w:p>
            <w:r>
              <w:t>PurpleWASP developers, administrators, implementation partners and technical support teams</w:t>
            </w:r>
          </w:p>
        </w:tc>
      </w:tr>
      <w:tr>
        <w:tc>
          <w:tcPr>
            <w:tcW w:type="dxa" w:w="4939"/>
            <w:shd w:fill="F3EDF7"/>
            <w:tcMar>
              <w:top w:w="80" w:type="dxa"/>
              <w:start w:w="100" w:type="dxa"/>
              <w:bottom w:w="80" w:type="dxa"/>
              <w:end w:w="100" w:type="dxa"/>
            </w:tcMar>
          </w:tcPr>
          <w:p>
            <w:r>
              <w:rPr>
                <w:b/>
              </w:rPr>
              <w:t>Baseline date</w:t>
            </w:r>
          </w:p>
        </w:tc>
        <w:tc>
          <w:tcPr>
            <w:tcW w:type="dxa" w:w="4939"/>
            <w:tcMar>
              <w:top w:w="80" w:type="dxa"/>
              <w:start w:w="100" w:type="dxa"/>
              <w:bottom w:w="80" w:type="dxa"/>
              <w:end w:w="100" w:type="dxa"/>
            </w:tcMar>
          </w:tcPr>
          <w:p>
            <w:r>
              <w:t>19 September 2026</w:t>
            </w:r>
          </w:p>
        </w:tc>
      </w:tr>
      <w:tr>
        <w:tc>
          <w:tcPr>
            <w:tcW w:type="dxa" w:w="4939"/>
            <w:shd w:fill="F3EDF7"/>
            <w:tcMar>
              <w:top w:w="80" w:type="dxa"/>
              <w:start w:w="100" w:type="dxa"/>
              <w:bottom w:w="80" w:type="dxa"/>
              <w:end w:w="100" w:type="dxa"/>
            </w:tcMar>
          </w:tcPr>
          <w:p>
            <w:r>
              <w:rPr>
                <w:b/>
              </w:rPr>
              <w:t>Status</w:t>
            </w:r>
          </w:p>
        </w:tc>
        <w:tc>
          <w:tcPr>
            <w:tcW w:type="dxa" w:w="4939"/>
            <w:tcMar>
              <w:top w:w="80" w:type="dxa"/>
              <w:start w:w="100" w:type="dxa"/>
              <w:bottom w:w="80" w:type="dxa"/>
              <w:end w:w="100" w:type="dxa"/>
            </w:tcMar>
          </w:tcPr>
          <w:p>
            <w:r>
              <w:t>Operational UI baseline under local acceptance/regression testing</w:t>
            </w:r>
          </w:p>
        </w:tc>
      </w:tr>
      <w:tr>
        <w:tc>
          <w:tcPr>
            <w:tcW w:type="dxa" w:w="4939"/>
            <w:shd w:fill="F3EDF7"/>
            <w:tcMar>
              <w:top w:w="80" w:type="dxa"/>
              <w:start w:w="100" w:type="dxa"/>
              <w:bottom w:w="80" w:type="dxa"/>
              <w:end w:w="100" w:type="dxa"/>
            </w:tcMar>
          </w:tcPr>
          <w:p>
            <w:r>
              <w:rPr>
                <w:b/>
              </w:rPr>
              <w:t>Product scope</w:t>
            </w:r>
          </w:p>
        </w:tc>
        <w:tc>
          <w:tcPr>
            <w:tcW w:type="dxa" w:w="4939"/>
            <w:tcMar>
              <w:top w:w="80" w:type="dxa"/>
              <w:start w:w="100" w:type="dxa"/>
              <w:bottom w:w="80" w:type="dxa"/>
              <w:end w:w="100" w:type="dxa"/>
            </w:tcMar>
          </w:tcPr>
          <w:p>
            <w:r>
              <w:t>PurpleWASP compliance and shared Control Management architecture</w:t>
            </w:r>
          </w:p>
        </w:tc>
      </w:tr>
    </w:tbl>
    <w:p/>
    <w:p>
      <w:pPr>
        <w:pStyle w:val="PWSmall"/>
        <w:jc w:val="center"/>
      </w:pPr>
      <w:r>
        <w:t>Framework implementation decisions should always be validated against the current authoritative framework material. PurpleWASP is not the publisher of the CIS Controls and does not replace CIS guidance, licensing terms or independent assurance.</w:t>
      </w:r>
    </w:p>
    <w:p>
      <w:r>
        <w:br w:type="page"/>
      </w:r>
    </w:p>
    <w:p>
      <w:pPr>
        <w:pStyle w:val="Heading1"/>
      </w:pPr>
      <w:r>
        <w:t>Document map</w:t>
      </w:r>
    </w:p>
    <w:p>
      <w:pPr/>
      <w:r>
        <w:t>1. Technical scope and invariants</w:t>
      </w:r>
    </w:p>
    <w:p>
      <w:pPr/>
      <w:r>
        <w:t>2. CIS content and licensing modes</w:t>
      </w:r>
    </w:p>
    <w:p>
      <w:pPr/>
      <w:r>
        <w:t>3. Framework content and canonical mapping layer</w:t>
      </w:r>
    </w:p>
    <w:p>
      <w:pPr/>
      <w:r>
        <w:t>4. Tenant persistence model</w:t>
      </w:r>
    </w:p>
    <w:p>
      <w:pPr/>
      <w:r>
        <w:t>5. Programme lifecycle and IG targeting</w:t>
      </w:r>
    </w:p>
    <w:p>
      <w:pPr/>
      <w:r>
        <w:t>6. Derived Safeguard assurance model</w:t>
      </w:r>
    </w:p>
    <w:p>
      <w:pPr/>
      <w:r>
        <w:t>7. Route/page inventory</w:t>
      </w:r>
    </w:p>
    <w:p>
      <w:pPr/>
      <w:r>
        <w:t>8. API and mutation model</w:t>
      </w:r>
    </w:p>
    <w:p>
      <w:pPr/>
      <w:r>
        <w:t>9. Safeguard workspace and shared Control authority</w:t>
      </w:r>
    </w:p>
    <w:p>
      <w:pPr/>
      <w:r>
        <w:t>10. Readiness score and Drivers / Improve Score</w:t>
      </w:r>
    </w:p>
    <w:p>
      <w:pPr/>
      <w:r>
        <w:t>11. Cross-framework reuse</w:t>
      </w:r>
    </w:p>
    <w:p>
      <w:pPr/>
      <w:r>
        <w:t>12. Framework keys, permissions and read-only behaviour</w:t>
      </w:r>
    </w:p>
    <w:p>
      <w:pPr/>
      <w:r>
        <w:t>13. Failure modes</w:t>
      </w:r>
    </w:p>
    <w:p>
      <w:pPr/>
      <w:r>
        <w:t>14. Acceptance/regression test</w:t>
      </w:r>
    </w:p>
    <w:p>
      <w:pPr/>
      <w:r>
        <w:t>15. Maintenance, versioning and provider-neutral extension</w:t>
      </w:r>
    </w:p>
    <w:p>
      <w:pPr/>
      <w:r>
        <w:t>16. References</w:t>
      </w:r>
    </w:p>
    <w:p>
      <w:r>
        <w:br w:type="page"/>
      </w:r>
    </w:p>
    <w:p>
      <w:pPr>
        <w:pStyle w:val="Heading1"/>
      </w:pPr>
      <w:r>
        <w:t>1. Technical scope and invariants</w:t>
      </w:r>
    </w:p>
    <w:p>
      <w:pPr/>
      <w:r>
        <w:t>CIS Controls v8.1 is implemented as a framework/programme layer over PurpleWASP’s shared Control assurance system. Global CIS catalogue metadata and canonical mappings live in intel_core; tenant-specific programme configuration and Safeguard overrides live in the CIS compliance database; organisation Controls, evidence, tests, documents, Risks, issues and exceptions remain authoritative in Control Management.</w:t>
      </w:r>
    </w:p>
    <w:tbl>
      <w:tblPr>
        <w:tblW w:type="auto" w:w="0"/>
        <w:tblLook w:firstColumn="1" w:firstRow="1" w:lastColumn="0" w:lastRow="0" w:noHBand="0" w:noVBand="1" w:val="04A0"/>
      </w:tblPr>
      <w:tblGrid>
        <w:gridCol w:w="9878"/>
      </w:tblGrid>
      <w:tr>
        <w:tc>
          <w:tcPr>
            <w:tcW w:type="dxa" w:w="9878"/>
            <w:shd w:fill="F3EDF7"/>
          </w:tcPr>
          <w:p>
            <w:r>
              <w:rPr>
                <w:b/>
              </w:rPr>
              <w:t>Key invariants</w:t>
              <w:br/>
            </w:r>
            <w:r>
              <w:t>Do not duplicate organisation Control implementation state in CIS tables. Do not equate a canonical mapping with implementation. Keep coverage uncertainty distinct from explicit non-implementation. Confirmed programmes are immutable historical baselines. PurpleWASP readiness is internal and is not an official CIS score. Do not expose licensed CIS content unless commercial-use rights are confirmed.</w:t>
            </w:r>
          </w:p>
        </w:tc>
      </w:tr>
    </w:tbl>
    <w:p/>
    <w:p>
      <w:pPr>
        <w:pStyle w:val="Heading1"/>
      </w:pPr>
      <w:r>
        <w:t>2. CIS content and licensing modes</w:t>
      </w:r>
    </w:p>
    <w:p>
      <w:pPr/>
      <w:r>
        <w:t>The CIS data helper supports a content-mode boundary through PW_CIS_CONTENT_MODE. The default is identifier_only. A licensed mode is optional and should be enabled only when the deployment is entitled to reproduce/distribute the applicable CIS content.</w:t>
      </w:r>
    </w:p>
    <w:tbl>
      <w:tblPr>
        <w:tblStyle w:val="TableGrid"/>
        <w:tblW w:type="auto" w:w="0"/>
        <w:tblLook w:firstColumn="1" w:firstRow="1" w:lastColumn="0" w:lastRow="0" w:noHBand="0" w:noVBand="1" w:val="04A0"/>
      </w:tblPr>
      <w:tblGrid>
        <w:gridCol w:w="4939"/>
        <w:gridCol w:w="4939"/>
      </w:tblGrid>
      <w:tr>
        <w:trPr>
          <w:tblHeader w:val="true"/>
        </w:trPr>
        <w:tc>
          <w:tcPr>
            <w:tcW w:type="dxa" w:w="4939"/>
            <w:shd w:fill="F3EDF7"/>
            <w:vAlign w:val="center"/>
          </w:tcPr>
          <w:p>
            <w:r>
              <w:rPr>
                <w:b/>
              </w:rPr>
              <w:t>Mode</w:t>
            </w:r>
          </w:p>
        </w:tc>
        <w:tc>
          <w:tcPr>
            <w:tcW w:type="dxa" w:w="4939"/>
            <w:shd w:fill="F3EDF7"/>
            <w:vAlign w:val="center"/>
          </w:tcPr>
          <w:p>
            <w:r>
              <w:rPr>
                <w:b/>
              </w:rPr>
              <w:t>Expected behaviour</w:t>
            </w:r>
          </w:p>
        </w:tc>
      </w:tr>
      <w:tr>
        <w:tc>
          <w:tcPr>
            <w:tcW w:type="dxa" w:w="4939"/>
            <w:vAlign w:val="top"/>
          </w:tcPr>
          <w:p>
            <w:r>
              <w:t>identifier_only</w:t>
            </w:r>
          </w:p>
        </w:tc>
        <w:tc>
          <w:tcPr>
            <w:tcW w:type="dxa" w:w="4939"/>
            <w:vAlign w:val="top"/>
          </w:tcPr>
          <w:p>
            <w:r>
              <w:t>Display identifiers such as CIS Control 1 / CIS Safeguard 1.1 and PurpleWASP-authored implementation context; do not rely on official/derivative CIS wording for product UX.</w:t>
            </w:r>
          </w:p>
        </w:tc>
      </w:tr>
      <w:tr>
        <w:tc>
          <w:tcPr>
            <w:tcW w:type="dxa" w:w="4939"/>
            <w:vAlign w:val="top"/>
          </w:tcPr>
          <w:p>
            <w:r>
              <w:t>licensed</w:t>
            </w:r>
          </w:p>
        </w:tc>
        <w:tc>
          <w:tcPr>
            <w:tcW w:type="dxa" w:w="4939"/>
            <w:vAlign w:val="top"/>
          </w:tcPr>
          <w:p>
            <w:r>
              <w:t>May expose approved licensed CIS content according to the deployment’s rights, content source and version controls.</w:t>
            </w:r>
          </w:p>
        </w:tc>
      </w:tr>
    </w:tbl>
    <w:p/>
    <w:p>
      <w:pPr/>
      <w:r>
        <w:t>CIS commercial-use terms should be treated as a deployment/legal configuration concern, not bypassed by the application. The official CIS source remains authoritative for current wording and licensing.</w:t>
      </w:r>
    </w:p>
    <w:p>
      <w:pPr>
        <w:pStyle w:val="Heading1"/>
      </w:pPr>
      <w:r>
        <w:t>3. Framework content and canonical mapping layer</w:t>
      </w:r>
    </w:p>
    <w:p>
      <w:pPr/>
      <w:r>
        <w:t>The authoritative framework row is framework_key = CIS_CONTROLS, version v8.1. The current PurpleWASP catalogue contains 18 top-level CIS Control headings and 153 Safeguard framework_controls. Safeguard extra_json stores minimum_ig and IG membership metadata. Canonical relationships are stored in control_framework_map.</w:t>
      </w:r>
    </w:p>
    <w:p>
      <w:pPr>
        <w:jc w:val="center"/>
      </w:pPr>
      <w:r>
        <w:rPr>
          <w:b/>
        </w:rPr>
        <w:t>intel_core.frameworks → framework_controls (153 Safeguards) → control_framework_map → intel_core.controls → tenant org_controls</w:t>
      </w:r>
    </w:p>
    <w:p/>
    <w:p>
      <w:pPr>
        <w:pStyle w:val="ListBullet"/>
      </w:pPr>
      <w:r>
        <w:t>Mapping strength is full, partial or supporting.</w:t>
      </w:r>
    </w:p>
    <w:p>
      <w:pPr>
        <w:pStyle w:val="ListBullet"/>
      </w:pPr>
      <w:r>
        <w:t>Each Safeguard has exactly one primary full/partial lead recommendation in the current baseline.</w:t>
      </w:r>
    </w:p>
    <w:p>
      <w:pPr>
        <w:pStyle w:val="ListBullet"/>
      </w:pPr>
      <w:r>
        <w:t>Supporting mappings add context but do not replace the primary implementation relationship.</w:t>
      </w:r>
    </w:p>
    <w:p>
      <w:pPr>
        <w:pStyle w:val="ListBullet"/>
      </w:pPr>
      <w:r>
        <w:t>Organisation Controls inherit canonical CIS relationships when org_controls.global_control_id matches the canonical Control unless the organisation explicitly excludes the relationship; explicit organisation-level additions remain supported.</w:t>
      </w:r>
    </w:p>
    <w:p>
      <w:pPr>
        <w:pStyle w:val="ListBullet"/>
      </w:pPr>
      <w:r>
        <w:t>Cross-framework display traverses CIS Safeguard → canonical Control → other active framework requirements; it is not presented as an official third-party crosswalk.</w:t>
      </w:r>
    </w:p>
    <w:p>
      <w:pPr>
        <w:pStyle w:val="Heading1"/>
      </w:pPr>
      <w:r>
        <w:t>4. Tenant persistence model</w:t>
      </w:r>
    </w:p>
    <w:p>
      <w:pPr/>
      <w:r>
        <w:t>CIS-specific tenant state lives in &lt;tenant&gt;_compliance_cis. The schema deliberately stays small because implementation/assurance is owned elsewhere.</w:t>
      </w:r>
    </w:p>
    <w:tbl>
      <w:tblPr>
        <w:tblStyle w:val="TableGrid"/>
        <w:tblW w:type="auto" w:w="0"/>
        <w:tblLook w:firstColumn="1" w:firstRow="1" w:lastColumn="0" w:lastRow="0" w:noHBand="0" w:noVBand="1" w:val="04A0"/>
      </w:tblPr>
      <w:tblGrid>
        <w:gridCol w:w="4939"/>
        <w:gridCol w:w="4939"/>
      </w:tblGrid>
      <w:tr>
        <w:trPr>
          <w:tblHeader w:val="true"/>
        </w:trPr>
        <w:tc>
          <w:tcPr>
            <w:tcW w:type="dxa" w:w="4939"/>
            <w:shd w:fill="F3EDF7"/>
            <w:vAlign w:val="center"/>
          </w:tcPr>
          <w:p>
            <w:r>
              <w:rPr>
                <w:b/>
              </w:rPr>
              <w:t>Table</w:t>
            </w:r>
          </w:p>
        </w:tc>
        <w:tc>
          <w:tcPr>
            <w:tcW w:type="dxa" w:w="4939"/>
            <w:shd w:fill="F3EDF7"/>
            <w:vAlign w:val="center"/>
          </w:tcPr>
          <w:p>
            <w:r>
              <w:rPr>
                <w:b/>
              </w:rPr>
              <w:t>Responsibility</w:t>
            </w:r>
          </w:p>
        </w:tc>
      </w:tr>
      <w:tr>
        <w:tc>
          <w:tcPr>
            <w:tcW w:type="dxa" w:w="4939"/>
            <w:vAlign w:val="top"/>
          </w:tcPr>
          <w:p>
            <w:r>
              <w:t>cis_programs</w:t>
            </w:r>
          </w:p>
        </w:tc>
        <w:tc>
          <w:tcPr>
            <w:tcW w:type="dxa" w:w="4939"/>
            <w:vAlign w:val="top"/>
          </w:tcPr>
          <w:p>
            <w:r>
              <w:t>Programme header, enablement reference, baseline IG, scope, context/rationale, owner, lifecycle status, configuration hash, snapshot and confirmation/supersession metadata.</w:t>
            </w:r>
          </w:p>
        </w:tc>
      </w:tr>
      <w:tr>
        <w:tc>
          <w:tcPr>
            <w:tcW w:type="dxa" w:w="4939"/>
            <w:vAlign w:val="top"/>
          </w:tcPr>
          <w:p>
            <w:r>
              <w:t>cis_safeguard_overrides</w:t>
            </w:r>
          </w:p>
        </w:tc>
        <w:tc>
          <w:tcPr>
            <w:tcW w:type="dxa" w:w="4939"/>
            <w:vAlign w:val="top"/>
          </w:tcPr>
          <w:p>
            <w:r>
              <w:t>Framework-specific additional-target and applicability decisions, rationale, notes and audit timestamps for individual Safeguards.</w:t>
            </w:r>
          </w:p>
        </w:tc>
      </w:tr>
    </w:tbl>
    <w:p/>
    <w:p>
      <w:pPr/>
      <w:r>
        <w:t>Project database convention: use indexes, unique keys, enums/JSON/text and service-layer validation; do not introduce CHECK, CONSTRAINT or FOREIGN KEY enforcement into the CIS schema.</w:t>
      </w:r>
    </w:p>
    <w:p>
      <w:pPr>
        <w:pStyle w:val="Heading1"/>
      </w:pPr>
      <w:r>
        <w:t>5. Programme lifecycle and IG targeting</w:t>
      </w:r>
    </w:p>
    <w:p>
      <w:pPr/>
      <w:r>
        <w:t>A programme is first saved as draft. Confirmation snapshots scope/overrides, computes a configuration hash and establishes the authoritative baseline. Editing a confirmed programme creates/reuses a successor draft; when confirmed, the predecessor becomes superseded.</w:t>
      </w:r>
    </w:p>
    <w:p>
      <w:pPr>
        <w:jc w:val="center"/>
      </w:pPr>
      <w:r>
        <w:rPr>
          <w:b/>
        </w:rPr>
        <w:t>Draft  →  Confirmed baseline  →  Successor draft  →  New confirmed baseline / predecessor superseded</w:t>
      </w:r>
    </w:p>
    <w:p/>
    <w:tbl>
      <w:tblPr>
        <w:tblStyle w:val="TableGrid"/>
        <w:tblW w:type="auto" w:w="0"/>
        <w:tblLook w:firstColumn="1" w:firstRow="1" w:lastColumn="0" w:lastRow="0" w:noHBand="0" w:noVBand="1" w:val="04A0"/>
      </w:tblPr>
      <w:tblGrid>
        <w:gridCol w:w="4939"/>
        <w:gridCol w:w="4939"/>
      </w:tblGrid>
      <w:tr>
        <w:trPr>
          <w:tblHeader w:val="true"/>
        </w:trPr>
        <w:tc>
          <w:tcPr>
            <w:tcW w:type="dxa" w:w="4939"/>
            <w:shd w:fill="F3EDF7"/>
            <w:vAlign w:val="center"/>
          </w:tcPr>
          <w:p>
            <w:r>
              <w:rPr>
                <w:b/>
              </w:rPr>
              <w:t>IG</w:t>
            </w:r>
          </w:p>
        </w:tc>
        <w:tc>
          <w:tcPr>
            <w:tcW w:type="dxa" w:w="4939"/>
            <w:shd w:fill="F3EDF7"/>
            <w:vAlign w:val="center"/>
          </w:tcPr>
          <w:p>
            <w:r>
              <w:rPr>
                <w:b/>
              </w:rPr>
              <w:t>Targeting rule</w:t>
            </w:r>
          </w:p>
        </w:tc>
      </w:tr>
      <w:tr>
        <w:tc>
          <w:tcPr>
            <w:tcW w:type="dxa" w:w="4939"/>
            <w:vAlign w:val="top"/>
          </w:tcPr>
          <w:p>
            <w:r>
              <w:t>IG1</w:t>
            </w:r>
          </w:p>
        </w:tc>
        <w:tc>
          <w:tcPr>
            <w:tcW w:type="dxa" w:w="4939"/>
            <w:vAlign w:val="top"/>
          </w:tcPr>
          <w:p>
            <w:r>
              <w:t>56 cumulative Safeguards</w:t>
            </w:r>
          </w:p>
        </w:tc>
      </w:tr>
      <w:tr>
        <w:tc>
          <w:tcPr>
            <w:tcW w:type="dxa" w:w="4939"/>
            <w:vAlign w:val="top"/>
          </w:tcPr>
          <w:p>
            <w:r>
              <w:t>IG2</w:t>
            </w:r>
          </w:p>
        </w:tc>
        <w:tc>
          <w:tcPr>
            <w:tcW w:type="dxa" w:w="4939"/>
            <w:vAlign w:val="top"/>
          </w:tcPr>
          <w:p>
            <w:r>
              <w:t>130 cumulative Safeguards (IG1 plus 74 additional)</w:t>
            </w:r>
          </w:p>
        </w:tc>
      </w:tr>
      <w:tr>
        <w:tc>
          <w:tcPr>
            <w:tcW w:type="dxa" w:w="4939"/>
            <w:vAlign w:val="top"/>
          </w:tcPr>
          <w:p>
            <w:r>
              <w:t>IG3</w:t>
            </w:r>
          </w:p>
        </w:tc>
        <w:tc>
          <w:tcPr>
            <w:tcW w:type="dxa" w:w="4939"/>
            <w:vAlign w:val="top"/>
          </w:tcPr>
          <w:p>
            <w:r>
              <w:t>153 cumulative Safeguards (IG1 + IG2 + 23 additional)</w:t>
            </w:r>
          </w:p>
        </w:tc>
      </w:tr>
    </w:tbl>
    <w:p/>
    <w:p>
      <w:pPr/>
      <w:r>
        <w:t>An override can add a higher-IG Safeguard to the target. Baseline Safeguards remain in target even when applicability is changed to Not applicable; N/A affects the implementation denominator rather than silently deleting the requirement from programme history.</w:t>
      </w:r>
    </w:p>
    <w:p>
      <w:pPr>
        <w:pStyle w:val="Heading1"/>
      </w:pPr>
      <w:r>
        <w:t>6. Derived Safeguard assurance model</w:t>
      </w:r>
    </w:p>
    <w:p>
      <w:pPr/>
      <w:r>
        <w:t>Safeguard status is derived from the effective organisation-Control coverage and assurance state. There is no cis_safeguard_status table.</w:t>
      </w:r>
    </w:p>
    <w:tbl>
      <w:tblPr>
        <w:tblStyle w:val="TableGrid"/>
        <w:tblW w:type="auto" w:w="0"/>
        <w:tblLook w:firstColumn="1" w:firstRow="1" w:lastColumn="0" w:lastRow="0" w:noHBand="0" w:noVBand="1" w:val="04A0"/>
      </w:tblPr>
      <w:tblGrid>
        <w:gridCol w:w="4939"/>
        <w:gridCol w:w="4939"/>
      </w:tblGrid>
      <w:tr>
        <w:trPr>
          <w:tblHeader w:val="true"/>
        </w:trPr>
        <w:tc>
          <w:tcPr>
            <w:tcW w:type="dxa" w:w="4939"/>
            <w:shd w:fill="F3EDF7"/>
            <w:vAlign w:val="center"/>
          </w:tcPr>
          <w:p>
            <w:r>
              <w:rPr>
                <w:b/>
              </w:rPr>
              <w:t>Derived status</w:t>
            </w:r>
          </w:p>
        </w:tc>
        <w:tc>
          <w:tcPr>
            <w:tcW w:type="dxa" w:w="4939"/>
            <w:shd w:fill="F3EDF7"/>
            <w:vAlign w:val="center"/>
          </w:tcPr>
          <w:p>
            <w:r>
              <w:rPr>
                <w:b/>
              </w:rPr>
              <w:t>Rule intent</w:t>
            </w:r>
          </w:p>
        </w:tc>
      </w:tr>
      <w:tr>
        <w:tc>
          <w:tcPr>
            <w:tcW w:type="dxa" w:w="4939"/>
            <w:vAlign w:val="top"/>
          </w:tcPr>
          <w:p>
            <w:r>
              <w:t>coverage_required</w:t>
            </w:r>
          </w:p>
        </w:tc>
        <w:tc>
          <w:tcPr>
            <w:tcW w:type="dxa" w:w="4939"/>
            <w:vAlign w:val="top"/>
          </w:tcPr>
          <w:p>
            <w:r>
              <w:t>Targeted Safeguard has no effective applicable organisation-Control coverage.</w:t>
            </w:r>
          </w:p>
        </w:tc>
      </w:tr>
      <w:tr>
        <w:tc>
          <w:tcPr>
            <w:tcW w:type="dxa" w:w="4939"/>
            <w:vAlign w:val="top"/>
          </w:tcPr>
          <w:p>
            <w:r>
              <w:t>not_implemented</w:t>
            </w:r>
          </w:p>
        </w:tc>
        <w:tc>
          <w:tcPr>
            <w:tcW w:type="dxa" w:w="4939"/>
            <w:vAlign w:val="top"/>
          </w:tcPr>
          <w:p>
            <w:r>
              <w:t>Effective Control coverage exists but maturity is zero/not implemented.</w:t>
            </w:r>
          </w:p>
        </w:tc>
      </w:tr>
      <w:tr>
        <w:tc>
          <w:tcPr>
            <w:tcW w:type="dxa" w:w="4939"/>
            <w:vAlign w:val="top"/>
          </w:tcPr>
          <w:p>
            <w:r>
              <w:t>planned</w:t>
            </w:r>
          </w:p>
        </w:tc>
        <w:tc>
          <w:tcPr>
            <w:tcW w:type="dxa" w:w="4939"/>
            <w:vAlign w:val="top"/>
          </w:tcPr>
          <w:p>
            <w:r>
              <w:t>Coverage exists and authoritative Control state is planned.</w:t>
            </w:r>
          </w:p>
        </w:tc>
      </w:tr>
      <w:tr>
        <w:tc>
          <w:tcPr>
            <w:tcW w:type="dxa" w:w="4939"/>
            <w:vAlign w:val="top"/>
          </w:tcPr>
          <w:p>
            <w:r>
              <w:t>partially_implemented</w:t>
            </w:r>
          </w:p>
        </w:tc>
        <w:tc>
          <w:tcPr>
            <w:tcW w:type="dxa" w:w="4939"/>
            <w:vAlign w:val="top"/>
          </w:tcPr>
          <w:p>
            <w:r>
              <w:t>Coverage exists but the effective implementation maturity is partial.</w:t>
            </w:r>
          </w:p>
        </w:tc>
      </w:tr>
      <w:tr>
        <w:tc>
          <w:tcPr>
            <w:tcW w:type="dxa" w:w="4939"/>
            <w:vAlign w:val="top"/>
          </w:tcPr>
          <w:p>
            <w:r>
              <w:t>implemented</w:t>
            </w:r>
          </w:p>
        </w:tc>
        <w:tc>
          <w:tcPr>
            <w:tcW w:type="dxa" w:w="4939"/>
            <w:vAlign w:val="top"/>
          </w:tcPr>
          <w:p>
            <w:r>
              <w:t>Effective mapped Control coverage reaches implemented maturity.</w:t>
            </w:r>
          </w:p>
        </w:tc>
      </w:tr>
      <w:tr>
        <w:tc>
          <w:tcPr>
            <w:tcW w:type="dxa" w:w="4939"/>
            <w:vAlign w:val="top"/>
          </w:tcPr>
          <w:p>
            <w:r>
              <w:t>not_applicable</w:t>
            </w:r>
          </w:p>
        </w:tc>
        <w:tc>
          <w:tcPr>
            <w:tcW w:type="dxa" w:w="4939"/>
            <w:vAlign w:val="top"/>
          </w:tcPr>
          <w:p>
            <w:r>
              <w:t>CIS programme override marks the Safeguard N/A with rationale.</w:t>
            </w:r>
          </w:p>
        </w:tc>
      </w:tr>
    </w:tbl>
    <w:p/>
    <w:p>
      <w:pPr/>
      <w:r>
        <w:t>Current mapping-strength weights in the helper are full = 1.00, partial = 0.65 and supporting = 0.35. Current implementation maturity weights are not implemented = 0, planned = 0.20, partial = 0.60 and implemented = 1.00. These are PurpleWASP internal calculations and can be versioned independently from official CIS assessment metrics.</w:t>
      </w:r>
    </w:p>
    <w:p>
      <w:pPr>
        <w:pStyle w:val="Heading1"/>
      </w:pPr>
      <w:r>
        <w:t>7. Route/page inventory</w:t>
      </w:r>
    </w:p>
    <w:tbl>
      <w:tblPr>
        <w:tblStyle w:val="TableGrid"/>
        <w:tblW w:type="auto" w:w="0"/>
        <w:tblLook w:firstColumn="1" w:firstRow="1" w:lastColumn="0" w:lastRow="0" w:noHBand="0" w:noVBand="1" w:val="04A0"/>
      </w:tblPr>
      <w:tblGrid>
        <w:gridCol w:w="4939"/>
        <w:gridCol w:w="4939"/>
      </w:tblGrid>
      <w:tr>
        <w:trPr>
          <w:tblHeader w:val="true"/>
        </w:trPr>
        <w:tc>
          <w:tcPr>
            <w:tcW w:type="dxa" w:w="4939"/>
            <w:shd w:fill="F3EDF7"/>
            <w:vAlign w:val="center"/>
          </w:tcPr>
          <w:p>
            <w:r>
              <w:rPr>
                <w:b/>
              </w:rPr>
              <w:t>Route</w:t>
            </w:r>
          </w:p>
        </w:tc>
        <w:tc>
          <w:tcPr>
            <w:tcW w:type="dxa" w:w="4939"/>
            <w:shd w:fill="F3EDF7"/>
            <w:vAlign w:val="center"/>
          </w:tcPr>
          <w:p>
            <w:r>
              <w:rPr>
                <w:b/>
              </w:rPr>
              <w:t>Responsibility</w:t>
            </w:r>
          </w:p>
        </w:tc>
      </w:tr>
      <w:tr>
        <w:tc>
          <w:tcPr>
            <w:tcW w:type="dxa" w:w="4939"/>
            <w:vAlign w:val="top"/>
          </w:tcPr>
          <w:p>
            <w:r>
              <w:t>/compliance/cis/dashboard</w:t>
            </w:r>
          </w:p>
        </w:tc>
        <w:tc>
          <w:tcPr>
            <w:tcW w:type="dxa" w:w="4939"/>
            <w:vAlign w:val="top"/>
          </w:tcPr>
          <w:p>
            <w:r>
              <w:t>Confirmed programme summary, target/coverage/implementation/assurance metrics, readiness drivers, Control-level roll-ups and attention queue.</w:t>
            </w:r>
          </w:p>
        </w:tc>
      </w:tr>
      <w:tr>
        <w:tc>
          <w:tcPr>
            <w:tcW w:type="dxa" w:w="4939"/>
            <w:vAlign w:val="top"/>
          </w:tcPr>
          <w:p>
            <w:r>
              <w:t>/compliance/cis/setup</w:t>
            </w:r>
          </w:p>
        </w:tc>
        <w:tc>
          <w:tcPr>
            <w:tcW w:type="dxa" w:w="4939"/>
            <w:vAlign w:val="top"/>
          </w:tcPr>
          <w:p>
            <w:r>
              <w:t>IG, scope, context/rationale and accountable owner; draft/confirm lifecycle.</w:t>
            </w:r>
          </w:p>
        </w:tc>
      </w:tr>
      <w:tr>
        <w:tc>
          <w:tcPr>
            <w:tcW w:type="dxa" w:w="4939"/>
            <w:vAlign w:val="top"/>
          </w:tcPr>
          <w:p>
            <w:r>
              <w:t>/compliance/cis/safeguards</w:t>
            </w:r>
          </w:p>
        </w:tc>
        <w:tc>
          <w:tcPr>
            <w:tcW w:type="dxa" w:w="4939"/>
            <w:vAlign w:val="top"/>
          </w:tcPr>
          <w:p>
            <w:r>
              <w:t>Search/filter all 153 Safeguards by Control, target, minimum IG and derived implementation state.</w:t>
            </w:r>
          </w:p>
        </w:tc>
      </w:tr>
      <w:tr>
        <w:tc>
          <w:tcPr>
            <w:tcW w:type="dxa" w:w="4939"/>
            <w:vAlign w:val="top"/>
          </w:tcPr>
          <w:p>
            <w:r>
              <w:t>/compliance/cis/safeguard</w:t>
            </w:r>
          </w:p>
        </w:tc>
        <w:tc>
          <w:tcPr>
            <w:tcW w:type="dxa" w:w="4939"/>
            <w:vAlign w:val="top"/>
          </w:tcPr>
          <w:p>
            <w:r>
              <w:t>Single-Safeguard workspace: programme decision, canonical recommendations, mapped organisation Controls and shared assurance tabs.</w:t>
            </w:r>
          </w:p>
        </w:tc>
      </w:tr>
      <w:tr>
        <w:tc>
          <w:tcPr>
            <w:tcW w:type="dxa" w:w="4939"/>
            <w:vAlign w:val="top"/>
          </w:tcPr>
          <w:p>
            <w:r>
              <w:t>/compliance/cis/gaps</w:t>
            </w:r>
          </w:p>
        </w:tc>
        <w:tc>
          <w:tcPr>
            <w:tcW w:type="dxa" w:w="4939"/>
            <w:vAlign w:val="top"/>
          </w:tcPr>
          <w:p>
            <w:r>
              <w:t>Drivers / Improve Score and operational Safeguard queue.</w:t>
            </w:r>
          </w:p>
        </w:tc>
      </w:tr>
      <w:tr>
        <w:tc>
          <w:tcPr>
            <w:tcW w:type="dxa" w:w="4939"/>
            <w:vAlign w:val="top"/>
          </w:tcPr>
          <w:p>
            <w:r>
              <w:t>/compliance/cis/integrity</w:t>
            </w:r>
          </w:p>
        </w:tc>
        <w:tc>
          <w:tcPr>
            <w:tcW w:type="dxa" w:w="4939"/>
            <w:vAlign w:val="top"/>
          </w:tcPr>
          <w:p>
            <w:r>
              <w:t>Current-state catalogue/programme/target/aggregation/readiness reconciliation checks.</w:t>
            </w:r>
          </w:p>
        </w:tc>
      </w:tr>
      <w:tr>
        <w:tc>
          <w:tcPr>
            <w:tcW w:type="dxa" w:w="4939"/>
            <w:vAlign w:val="top"/>
          </w:tcPr>
          <w:p>
            <w:r>
              <w:t>/control_management/index</w:t>
            </w:r>
          </w:p>
        </w:tc>
        <w:tc>
          <w:tcPr>
            <w:tcW w:type="dxa" w:w="4939"/>
            <w:vAlign w:val="top"/>
          </w:tcPr>
          <w:p>
            <w:r>
              <w:t>Authoritative organisation-Control mapping, implementation and assurance workflow.</w:t>
            </w:r>
          </w:p>
        </w:tc>
      </w:tr>
    </w:tbl>
    <w:p/>
    <w:p>
      <w:pPr>
        <w:pStyle w:val="Heading1"/>
      </w:pPr>
      <w:r>
        <w:t>8. API and mutation model</w:t>
      </w:r>
    </w:p>
    <w:p>
      <w:pPr>
        <w:pStyle w:val="ListBullet"/>
      </w:pPr>
      <w:r>
        <w:t>save_program.php — save/create a CIS programme draft after server-side validation and framework-surface write permission.</w:t>
      </w:r>
    </w:p>
    <w:p>
      <w:pPr>
        <w:pStyle w:val="ListBullet"/>
      </w:pPr>
      <w:r>
        <w:t>confirm_program.php — confirm a draft, snapshot configuration, supersede the previous confirmed programme and preserve history; requires appropriate manage/write capability.</w:t>
      </w:r>
    </w:p>
    <w:p>
      <w:pPr>
        <w:pStyle w:val="ListBullet"/>
      </w:pPr>
      <w:r>
        <w:t>save_safeguard_override.php — save additional-target/applicability/rationale/notes. When called against a confirmed programme, creates/reuses a successor draft before storing the override.</w:t>
      </w:r>
    </w:p>
    <w:p>
      <w:pPr>
        <w:pStyle w:val="ListBullet"/>
      </w:pPr>
      <w:r>
        <w:t>All CIS APIs require an authenticated organisation/user, Compliance module access, POST, same-origin validation where available, CSRF validation and server-side capability checks.</w:t>
      </w:r>
    </w:p>
    <w:p>
      <w:pPr>
        <w:pStyle w:val="ListBullet"/>
      </w:pPr>
      <w:r>
        <w:t>UI-disabled states are not security controls; server-side permission checks remain authoritative.</w:t>
      </w:r>
    </w:p>
    <w:p>
      <w:pPr>
        <w:pStyle w:val="Heading1"/>
      </w:pPr>
      <w:r>
        <w:t>9. Safeguard workspace and shared Control authority</w:t>
      </w:r>
    </w:p>
    <w:p>
      <w:pPr/>
      <w:r>
        <w:t>The Safeguard workspace deliberately exposes both the PurpleWASP canonical recommendation layer and the adopted organisation-Control layer. This allows “Coverage required” to present a concrete adoption path without creating a CIS-specific implementation record.</w:t>
      </w:r>
    </w:p>
    <w:tbl>
      <w:tblPr>
        <w:tblStyle w:val="TableGrid"/>
        <w:tblW w:type="auto" w:w="0"/>
        <w:tblLook w:firstColumn="1" w:firstRow="1" w:lastColumn="0" w:lastRow="0" w:noHBand="0" w:noVBand="1" w:val="04A0"/>
      </w:tblPr>
      <w:tblGrid>
        <w:gridCol w:w="4939"/>
        <w:gridCol w:w="4939"/>
      </w:tblGrid>
      <w:tr>
        <w:trPr>
          <w:tblHeader w:val="true"/>
        </w:trPr>
        <w:tc>
          <w:tcPr>
            <w:tcW w:type="dxa" w:w="4939"/>
            <w:shd w:fill="F3EDF7"/>
            <w:vAlign w:val="center"/>
          </w:tcPr>
          <w:p>
            <w:r>
              <w:rPr>
                <w:b/>
              </w:rPr>
              <w:t>Workspace tab / area</w:t>
            </w:r>
          </w:p>
        </w:tc>
        <w:tc>
          <w:tcPr>
            <w:tcW w:type="dxa" w:w="4939"/>
            <w:shd w:fill="F3EDF7"/>
            <w:vAlign w:val="center"/>
          </w:tcPr>
          <w:p>
            <w:r>
              <w:rPr>
                <w:b/>
              </w:rPr>
              <w:t>Source of truth</w:t>
            </w:r>
          </w:p>
        </w:tc>
      </w:tr>
      <w:tr>
        <w:tc>
          <w:tcPr>
            <w:tcW w:type="dxa" w:w="4939"/>
            <w:vAlign w:val="top"/>
          </w:tcPr>
          <w:p>
            <w:r>
              <w:t>PurpleWASP control recommendations</w:t>
            </w:r>
          </w:p>
        </w:tc>
        <w:tc>
          <w:tcPr>
            <w:tcW w:type="dxa" w:w="4939"/>
            <w:vAlign w:val="top"/>
          </w:tcPr>
          <w:p>
            <w:r>
              <w:t>intel_core canonical Controls + control_framework_map</w:t>
            </w:r>
          </w:p>
        </w:tc>
      </w:tr>
      <w:tr>
        <w:tc>
          <w:tcPr>
            <w:tcW w:type="dxa" w:w="4939"/>
            <w:vAlign w:val="top"/>
          </w:tcPr>
          <w:p>
            <w:r>
              <w:t>Mapped organisation Controls</w:t>
            </w:r>
          </w:p>
        </w:tc>
        <w:tc>
          <w:tcPr>
            <w:tcW w:type="dxa" w:w="4939"/>
            <w:vAlign w:val="top"/>
          </w:tcPr>
          <w:p>
            <w:r>
              <w:t>control_management.org_controls and effective org/framework mapping logic</w:t>
            </w:r>
          </w:p>
        </w:tc>
      </w:tr>
      <w:tr>
        <w:tc>
          <w:tcPr>
            <w:tcW w:type="dxa" w:w="4939"/>
            <w:vAlign w:val="top"/>
          </w:tcPr>
          <w:p>
            <w:r>
              <w:t>Policies &amp; Documents</w:t>
            </w:r>
          </w:p>
        </w:tc>
        <w:tc>
          <w:tcPr>
            <w:tcW w:type="dxa" w:w="4939"/>
            <w:vAlign w:val="top"/>
          </w:tcPr>
          <w:p>
            <w:r>
              <w:t>org_control_document_links / shared document records</w:t>
            </w:r>
          </w:p>
        </w:tc>
      </w:tr>
      <w:tr>
        <w:tc>
          <w:tcPr>
            <w:tcW w:type="dxa" w:w="4939"/>
            <w:vAlign w:val="top"/>
          </w:tcPr>
          <w:p>
            <w:r>
              <w:t>Risks</w:t>
            </w:r>
          </w:p>
        </w:tc>
        <w:tc>
          <w:tcPr>
            <w:tcW w:type="dxa" w:w="4939"/>
            <w:vAlign w:val="top"/>
          </w:tcPr>
          <w:p>
            <w:r>
              <w:t>shared Control ↔ Risk relationships</w:t>
            </w:r>
          </w:p>
        </w:tc>
      </w:tr>
      <w:tr>
        <w:tc>
          <w:tcPr>
            <w:tcW w:type="dxa" w:w="4939"/>
            <w:vAlign w:val="top"/>
          </w:tcPr>
          <w:p>
            <w:r>
              <w:t>Evidence</w:t>
            </w:r>
          </w:p>
        </w:tc>
        <w:tc>
          <w:tcPr>
            <w:tcW w:type="dxa" w:w="4939"/>
            <w:vAlign w:val="top"/>
          </w:tcPr>
          <w:p>
            <w:r>
              <w:t>org_control_evidence and link/currentness state</w:t>
            </w:r>
          </w:p>
        </w:tc>
      </w:tr>
      <w:tr>
        <w:tc>
          <w:tcPr>
            <w:tcW w:type="dxa" w:w="4939"/>
            <w:vAlign w:val="top"/>
          </w:tcPr>
          <w:p>
            <w:r>
              <w:t>Tests &amp; Assessments</w:t>
            </w:r>
          </w:p>
        </w:tc>
        <w:tc>
          <w:tcPr>
            <w:tcW w:type="dxa" w:w="4939"/>
            <w:vAlign w:val="top"/>
          </w:tcPr>
          <w:p>
            <w:r>
              <w:t>org_control_assessments, org_control_tests and test runs</w:t>
            </w:r>
          </w:p>
        </w:tc>
      </w:tr>
      <w:tr>
        <w:tc>
          <w:tcPr>
            <w:tcW w:type="dxa" w:w="4939"/>
            <w:vAlign w:val="top"/>
          </w:tcPr>
          <w:p>
            <w:r>
              <w:t>Issues &amp; Exceptions</w:t>
            </w:r>
          </w:p>
        </w:tc>
        <w:tc>
          <w:tcPr>
            <w:tcW w:type="dxa" w:w="4939"/>
            <w:vAlign w:val="top"/>
          </w:tcPr>
          <w:p>
            <w:r>
              <w:t>org_control_issues and shared exception records</w:t>
            </w:r>
          </w:p>
        </w:tc>
      </w:tr>
      <w:tr>
        <w:tc>
          <w:tcPr>
            <w:tcW w:type="dxa" w:w="4939"/>
            <w:vAlign w:val="top"/>
          </w:tcPr>
          <w:p>
            <w:r>
              <w:t>Cross-framework</w:t>
            </w:r>
          </w:p>
        </w:tc>
        <w:tc>
          <w:tcPr>
            <w:tcW w:type="dxa" w:w="4939"/>
            <w:vAlign w:val="top"/>
          </w:tcPr>
          <w:p>
            <w:r>
              <w:t>canonical-Control traversal to other active framework requirements</w:t>
            </w:r>
          </w:p>
        </w:tc>
      </w:tr>
    </w:tbl>
    <w:p/>
    <w:p>
      <w:pPr/>
      <w:r>
        <w:t>Top summary cards should distinguish current/actionable assurance from total historical records shown in tabs. Where counts differ, UI labels should make that population difference explicit rather than implying a reconciliation defect.</w:t>
      </w:r>
    </w:p>
    <w:p>
      <w:pPr>
        <w:pStyle w:val="Heading1"/>
      </w:pPr>
      <w:r>
        <w:t>10. Readiness score and Drivers / Improve Score</w:t>
      </w:r>
    </w:p>
    <w:p>
      <w:pPr/>
      <w:r>
        <w:t>The current PurpleWASP CIS implementation-readiness model uses seven drivers totalling 100 points. The model is intentionally separate from official CIS metrics/CAS and must remain labelled as a PurpleWASP internal indicator.</w:t>
      </w:r>
    </w:p>
    <w:tbl>
      <w:tblPr>
        <w:tblStyle w:val="TableGrid"/>
        <w:tblW w:type="auto" w:w="0"/>
        <w:tblLook w:firstColumn="1" w:firstRow="1" w:lastColumn="0" w:lastRow="0" w:noHBand="0" w:noVBand="1" w:val="04A0"/>
      </w:tblPr>
      <w:tblGrid>
        <w:gridCol w:w="4939"/>
        <w:gridCol w:w="4939"/>
      </w:tblGrid>
      <w:tr>
        <w:trPr>
          <w:tblHeader w:val="true"/>
        </w:trPr>
        <w:tc>
          <w:tcPr>
            <w:tcW w:type="dxa" w:w="4939"/>
            <w:shd w:fill="F3EDF7"/>
            <w:vAlign w:val="center"/>
          </w:tcPr>
          <w:p>
            <w:r>
              <w:rPr>
                <w:b/>
              </w:rPr>
              <w:t>Driver</w:t>
            </w:r>
          </w:p>
        </w:tc>
        <w:tc>
          <w:tcPr>
            <w:tcW w:type="dxa" w:w="4939"/>
            <w:shd w:fill="F3EDF7"/>
            <w:vAlign w:val="center"/>
          </w:tcPr>
          <w:p>
            <w:r>
              <w:rPr>
                <w:b/>
              </w:rPr>
              <w:t>Weight</w:t>
            </w:r>
          </w:p>
        </w:tc>
      </w:tr>
      <w:tr>
        <w:tc>
          <w:tcPr>
            <w:tcW w:type="dxa" w:w="4939"/>
            <w:vAlign w:val="top"/>
          </w:tcPr>
          <w:p>
            <w:r>
              <w:t>Setup / IG / scope</w:t>
            </w:r>
          </w:p>
        </w:tc>
        <w:tc>
          <w:tcPr>
            <w:tcW w:type="dxa" w:w="4939"/>
            <w:vAlign w:val="top"/>
          </w:tcPr>
          <w:p>
            <w:r>
              <w:t>10</w:t>
            </w:r>
          </w:p>
        </w:tc>
      </w:tr>
      <w:tr>
        <w:tc>
          <w:tcPr>
            <w:tcW w:type="dxa" w:w="4939"/>
            <w:vAlign w:val="top"/>
          </w:tcPr>
          <w:p>
            <w:r>
              <w:t>Safeguard Control coverage</w:t>
            </w:r>
          </w:p>
        </w:tc>
        <w:tc>
          <w:tcPr>
            <w:tcW w:type="dxa" w:w="4939"/>
            <w:vAlign w:val="top"/>
          </w:tcPr>
          <w:p>
            <w:r>
              <w:t>20</w:t>
            </w:r>
          </w:p>
        </w:tc>
      </w:tr>
      <w:tr>
        <w:tc>
          <w:tcPr>
            <w:tcW w:type="dxa" w:w="4939"/>
            <w:vAlign w:val="top"/>
          </w:tcPr>
          <w:p>
            <w:r>
              <w:t>Control implementation</w:t>
            </w:r>
          </w:p>
        </w:tc>
        <w:tc>
          <w:tcPr>
            <w:tcW w:type="dxa" w:w="4939"/>
            <w:vAlign w:val="top"/>
          </w:tcPr>
          <w:p>
            <w:r>
              <w:t>30</w:t>
            </w:r>
          </w:p>
        </w:tc>
      </w:tr>
      <w:tr>
        <w:tc>
          <w:tcPr>
            <w:tcW w:type="dxa" w:w="4939"/>
            <w:vAlign w:val="top"/>
          </w:tcPr>
          <w:p>
            <w:r>
              <w:t>Governance document support</w:t>
            </w:r>
          </w:p>
        </w:tc>
        <w:tc>
          <w:tcPr>
            <w:tcW w:type="dxa" w:w="4939"/>
            <w:vAlign w:val="top"/>
          </w:tcPr>
          <w:p>
            <w:r>
              <w:t>10</w:t>
            </w:r>
          </w:p>
        </w:tc>
      </w:tr>
      <w:tr>
        <w:tc>
          <w:tcPr>
            <w:tcW w:type="dxa" w:w="4939"/>
            <w:vAlign w:val="top"/>
          </w:tcPr>
          <w:p>
            <w:r>
              <w:t>Current evidence</w:t>
            </w:r>
          </w:p>
        </w:tc>
        <w:tc>
          <w:tcPr>
            <w:tcW w:type="dxa" w:w="4939"/>
            <w:vAlign w:val="top"/>
          </w:tcPr>
          <w:p>
            <w:r>
              <w:t>15</w:t>
            </w:r>
          </w:p>
        </w:tc>
      </w:tr>
      <w:tr>
        <w:tc>
          <w:tcPr>
            <w:tcW w:type="dxa" w:w="4939"/>
            <w:vAlign w:val="top"/>
          </w:tcPr>
          <w:p>
            <w:r>
              <w:t>Assessment and testing</w:t>
            </w:r>
          </w:p>
        </w:tc>
        <w:tc>
          <w:tcPr>
            <w:tcW w:type="dxa" w:w="4939"/>
            <w:vAlign w:val="top"/>
          </w:tcPr>
          <w:p>
            <w:r>
              <w:t>10</w:t>
            </w:r>
          </w:p>
        </w:tc>
      </w:tr>
      <w:tr>
        <w:tc>
          <w:tcPr>
            <w:tcW w:type="dxa" w:w="4939"/>
            <w:vAlign w:val="top"/>
          </w:tcPr>
          <w:p>
            <w:r>
              <w:t>Issues and exceptions / blocker impact</w:t>
            </w:r>
          </w:p>
        </w:tc>
        <w:tc>
          <w:tcPr>
            <w:tcW w:type="dxa" w:w="4939"/>
            <w:vAlign w:val="top"/>
          </w:tcPr>
          <w:p>
            <w:r>
              <w:t>5</w:t>
            </w:r>
          </w:p>
        </w:tc>
      </w:tr>
    </w:tbl>
    <w:p/>
    <w:p>
      <w:pPr/>
      <w:r>
        <w:t>Assessment Coverage and Implementation Progress are separate. Coverage-required Safeguards reduce assessment coverage but are not silently scored as explicit implementation failures. Not Applicable Safeguards remain resolved for coverage while being excluded from the implementation denominator.</w:t>
      </w:r>
    </w:p>
    <w:p>
      <w:pPr>
        <w:pStyle w:val="Heading1"/>
      </w:pPr>
      <w:r>
        <w:t>11. Cross-framework reuse</w:t>
      </w:r>
    </w:p>
    <w:p>
      <w:pPr/>
      <w:r>
        <w:t>CIS reuses the same canonical and organisation Controls already used by ISO 27001, NIST CSF 2.0, SOC 2 and Cyber Essentials. The workspace therefore shows where a CIS Safeguard and another framework requirement share a PurpleWASP canonical Control. This is implementation intelligence, not an assertion that one framework requirement formally satisfies another.</w:t>
      </w:r>
    </w:p>
    <w:p>
      <w:pPr>
        <w:jc w:val="center"/>
      </w:pPr>
      <w:r>
        <w:rPr>
          <w:b/>
        </w:rPr>
        <w:t>CIS Safeguard → canonical PurpleWASP Control → organisation Control / assurance → other framework relationships</w:t>
      </w:r>
    </w:p>
    <w:p/>
    <w:p>
      <w:pPr>
        <w:pStyle w:val="Heading1"/>
      </w:pPr>
      <w:r>
        <w:t>12. Framework keys, permissions and read-only behaviour</w:t>
      </w:r>
    </w:p>
    <w:p>
      <w:pPr>
        <w:pStyle w:val="ListBullet"/>
      </w:pPr>
      <w:r>
        <w:t>Authoritative intel framework key: CIS_CONTROLS.</w:t>
      </w:r>
    </w:p>
    <w:p>
      <w:pPr>
        <w:pStyle w:val="ListBullet"/>
      </w:pPr>
      <w:r>
        <w:t>Shared compliance context normalises the navigation/configuration key as required by the framework router.</w:t>
      </w:r>
    </w:p>
    <w:p>
      <w:pPr>
        <w:pStyle w:val="ListBullet"/>
      </w:pPr>
      <w:r>
        <w:t>All CIS pages require Compliance view/module access.</w:t>
      </w:r>
    </w:p>
    <w:p>
      <w:pPr>
        <w:pStyle w:val="ListBullet"/>
      </w:pPr>
      <w:r>
        <w:t>Programme and Safeguard mutations use existing compliance.write / compliance.manage capability boundaries; Control adoption/assurance continues to use Control Management capabilities.</w:t>
      </w:r>
    </w:p>
    <w:p>
      <w:pPr>
        <w:pStyle w:val="ListBullet"/>
      </w:pPr>
      <w:r>
        <w:t>Viewer/auditor/read-only users should be able to inspect programme/readiness/workspaces without mutation controls.</w:t>
      </w:r>
    </w:p>
    <w:p>
      <w:pPr>
        <w:pStyle w:val="ListBullet"/>
      </w:pPr>
      <w:r>
        <w:t>Demo read-only protection in the shared shell must continue to suppress mutation surfaces even for broad-role accounts.</w:t>
      </w:r>
    </w:p>
    <w:p>
      <w:pPr>
        <w:pStyle w:val="Heading1"/>
      </w:pPr>
      <w:r>
        <w:t>13. Failure modes</w:t>
      </w:r>
    </w:p>
    <w:tbl>
      <w:tblPr>
        <w:tblStyle w:val="TableGrid"/>
        <w:tblW w:type="auto" w:w="0"/>
        <w:tblLook w:firstColumn="1" w:firstRow="1" w:lastColumn="0" w:lastRow="0" w:noHBand="0" w:noVBand="1" w:val="04A0"/>
      </w:tblPr>
      <w:tblGrid>
        <w:gridCol w:w="4939"/>
        <w:gridCol w:w="4939"/>
      </w:tblGrid>
      <w:tr>
        <w:trPr>
          <w:tblHeader w:val="true"/>
        </w:trPr>
        <w:tc>
          <w:tcPr>
            <w:tcW w:type="dxa" w:w="4939"/>
            <w:shd w:fill="F3EDF7"/>
            <w:vAlign w:val="center"/>
          </w:tcPr>
          <w:p>
            <w:r>
              <w:rPr>
                <w:b/>
              </w:rPr>
              <w:t>Symptom</w:t>
            </w:r>
          </w:p>
        </w:tc>
        <w:tc>
          <w:tcPr>
            <w:tcW w:type="dxa" w:w="4939"/>
            <w:shd w:fill="F3EDF7"/>
            <w:vAlign w:val="center"/>
          </w:tcPr>
          <w:p>
            <w:r>
              <w:rPr>
                <w:b/>
              </w:rPr>
              <w:t>Check</w:t>
            </w:r>
          </w:p>
        </w:tc>
      </w:tr>
      <w:tr>
        <w:tc>
          <w:tcPr>
            <w:tcW w:type="dxa" w:w="4939"/>
            <w:vAlign w:val="top"/>
          </w:tcPr>
          <w:p>
            <w:r>
              <w:t>CIS picker disabled</w:t>
            </w:r>
          </w:p>
        </w:tc>
        <w:tc>
          <w:tcPr>
            <w:tcW w:type="dxa" w:w="4939"/>
            <w:vAlign w:val="top"/>
          </w:tcPr>
          <w:p>
            <w:r>
              <w:t>module_redirect.php CIS_CONTROLS entry and shared framework context route registration.</w:t>
            </w:r>
          </w:p>
        </w:tc>
      </w:tr>
      <w:tr>
        <w:tc>
          <w:tcPr>
            <w:tcW w:type="dxa" w:w="4939"/>
            <w:vAlign w:val="top"/>
          </w:tcPr>
          <w:p>
            <w:r>
              <w:t>Preflight/catalogue integrity fails</w:t>
            </w:r>
          </w:p>
        </w:tc>
        <w:tc>
          <w:tcPr>
            <w:tcW w:type="dxa" w:w="4939"/>
            <w:vAlign w:val="top"/>
          </w:tcPr>
          <w:p>
            <w:r>
              <w:t>Active CIS_CONTROLS v8.1 row, 18 headings, 153 Safeguards, valid IG metadata and canonical mappings.</w:t>
            </w:r>
          </w:p>
        </w:tc>
      </w:tr>
      <w:tr>
        <w:tc>
          <w:tcPr>
            <w:tcW w:type="dxa" w:w="4939"/>
            <w:vAlign w:val="top"/>
          </w:tcPr>
          <w:p>
            <w:r>
              <w:t>IG2 target is not 130</w:t>
            </w:r>
          </w:p>
        </w:tc>
        <w:tc>
          <w:tcPr>
            <w:tcW w:type="dxa" w:w="4939"/>
            <w:vAlign w:val="top"/>
          </w:tcPr>
          <w:p>
            <w:r>
              <w:t>minimum_ig/IG metadata, additional-target overrides and selected programme baseline.</w:t>
            </w:r>
          </w:p>
        </w:tc>
      </w:tr>
      <w:tr>
        <w:tc>
          <w:tcPr>
            <w:tcW w:type="dxa" w:w="4939"/>
            <w:vAlign w:val="top"/>
          </w:tcPr>
          <w:p>
            <w:r>
              <w:t>Coverage unexpectedly zero</w:t>
            </w:r>
          </w:p>
        </w:tc>
        <w:tc>
          <w:tcPr>
            <w:tcW w:type="dxa" w:w="4939"/>
            <w:vAlign w:val="top"/>
          </w:tcPr>
          <w:p>
            <w:r>
              <w:t>org_controls.global_control_id, effective inherited mapping logic and explicit exclude/add organisation mappings.</w:t>
            </w:r>
          </w:p>
        </w:tc>
      </w:tr>
      <w:tr>
        <w:tc>
          <w:tcPr>
            <w:tcW w:type="dxa" w:w="4939"/>
            <w:vAlign w:val="top"/>
          </w:tcPr>
          <w:p>
            <w:r>
              <w:t>Safeguard shows Coverage required despite recommendation</w:t>
            </w:r>
          </w:p>
        </w:tc>
        <w:tc>
          <w:tcPr>
            <w:tcW w:type="dxa" w:w="4939"/>
            <w:vAlign w:val="top"/>
          </w:tcPr>
          <w:p>
            <w:r>
              <w:t>Expected when no organisation Control is adopted/mapped; verify the adoption path rather than changing the derived status.</w:t>
            </w:r>
          </w:p>
        </w:tc>
      </w:tr>
      <w:tr>
        <w:tc>
          <w:tcPr>
            <w:tcW w:type="dxa" w:w="4939"/>
            <w:vAlign w:val="top"/>
          </w:tcPr>
          <w:p>
            <w:r>
              <w:t>Evidence/test/issues counts disagree</w:t>
            </w:r>
          </w:p>
        </w:tc>
        <w:tc>
          <w:tcPr>
            <w:tcW w:type="dxa" w:w="4939"/>
            <w:vAlign w:val="top"/>
          </w:tcPr>
          <w:p>
            <w:r>
              <w:t>Confirm whether the headline is current/actionable while the tab includes historical records; inspect currentness/status filters.</w:t>
            </w:r>
          </w:p>
        </w:tc>
      </w:tr>
      <w:tr>
        <w:tc>
          <w:tcPr>
            <w:tcW w:type="dxa" w:w="4939"/>
            <w:vAlign w:val="top"/>
          </w:tcPr>
          <w:p>
            <w:r>
              <w:t>Confirmed programme changes in place</w:t>
            </w:r>
          </w:p>
        </w:tc>
        <w:tc>
          <w:tcPr>
            <w:tcW w:type="dxa" w:w="4939"/>
            <w:vAlign w:val="top"/>
          </w:tcPr>
          <w:p>
            <w:r>
              <w:t>Successor-draft logic; confirmed records must remain immutable and previous confirmed baseline should become superseded only on new confirmation.</w:t>
            </w:r>
          </w:p>
        </w:tc>
      </w:tr>
      <w:tr>
        <w:tc>
          <w:tcPr>
            <w:tcW w:type="dxa" w:w="4939"/>
            <w:vAlign w:val="top"/>
          </w:tcPr>
          <w:p>
            <w:r>
              <w:t>Readiness looks like an official result</w:t>
            </w:r>
          </w:p>
        </w:tc>
        <w:tc>
          <w:tcPr>
            <w:tcW w:type="dxa" w:w="4939"/>
            <w:vAlign w:val="top"/>
          </w:tcPr>
          <w:p>
            <w:r>
              <w:t>UI copy must retain “PurpleWASP” / “internal implementation-readiness model” boundary.</w:t>
            </w:r>
          </w:p>
        </w:tc>
      </w:tr>
      <w:tr>
        <w:tc>
          <w:tcPr>
            <w:tcW w:type="dxa" w:w="4939"/>
            <w:vAlign w:val="top"/>
          </w:tcPr>
          <w:p>
            <w:r>
              <w:t>Official CIS wording appears in identifier-only deployment</w:t>
            </w:r>
          </w:p>
        </w:tc>
        <w:tc>
          <w:tcPr>
            <w:tcW w:type="dxa" w:w="4939"/>
            <w:vAlign w:val="top"/>
          </w:tcPr>
          <w:p>
            <w:r>
              <w:t>PW_CIS_CONTENT_MODE and content-source/licensing configuration.</w:t>
            </w:r>
          </w:p>
        </w:tc>
      </w:tr>
    </w:tbl>
    <w:p/>
    <w:p>
      <w:pPr>
        <w:pStyle w:val="Heading1"/>
      </w:pPr>
      <w:r>
        <w:t>14. Acceptance/regression test</w:t>
      </w:r>
    </w:p>
    <w:p>
      <w:pPr>
        <w:pStyle w:val="ListBullet"/>
      </w:pPr>
      <w:r>
        <w:t>Verify Compliance → CIS Controls v8.1 navigation and all CIS routes.</w:t>
      </w:r>
    </w:p>
    <w:p>
      <w:pPr>
        <w:pStyle w:val="ListBullet"/>
      </w:pPr>
      <w:r>
        <w:t>Create/save/reload/confirm an IG1 programme; confirm 56 target Safeguards.</w:t>
      </w:r>
    </w:p>
    <w:p>
      <w:pPr>
        <w:pStyle w:val="ListBullet"/>
      </w:pPr>
      <w:r>
        <w:t>Create a successor IG2 draft from the confirmed programme; confirm the old programme remains authoritative until confirmation and becomes superseded afterwards; confirm 130 targets.</w:t>
      </w:r>
    </w:p>
    <w:p>
      <w:pPr>
        <w:pStyle w:val="ListBullet"/>
      </w:pPr>
      <w:r>
        <w:t>Check IG3 reaches 153 and outside-target logic reconciles correctly for lower baselines.</w:t>
      </w:r>
    </w:p>
    <w:p>
      <w:pPr>
        <w:pStyle w:val="ListBullet"/>
      </w:pPr>
      <w:r>
        <w:t>Open a Coverage required Safeguard and verify primary/supporting canonical recommendations plus Control Management adoption path.</w:t>
      </w:r>
    </w:p>
    <w:p>
      <w:pPr>
        <w:pStyle w:val="ListBullet"/>
      </w:pPr>
      <w:r>
        <w:t>Open an implemented Safeguard and verify mapped organisation Control, implementation, evidence, documents, Risks, tests/assessments, issues/exceptions and cross-framework reuse.</w:t>
      </w:r>
    </w:p>
    <w:p>
      <w:pPr>
        <w:pStyle w:val="ListBullet"/>
      </w:pPr>
      <w:r>
        <w:t>Save N/A/additional-target decisions and verify successor-draft behaviour and rationale validation.</w:t>
      </w:r>
    </w:p>
    <w:p>
      <w:pPr>
        <w:pStyle w:val="ListBullet"/>
      </w:pPr>
      <w:r>
        <w:t>Verify dashboard, Safeguards list, Drivers/Improve Score and Integrity reconcile to the same server-side model.</w:t>
      </w:r>
    </w:p>
    <w:p>
      <w:pPr>
        <w:pStyle w:val="ListBullet"/>
      </w:pPr>
      <w:r>
        <w:t>Test viewer, contributor, manager/approver and demo read-only behaviours.</w:t>
      </w:r>
    </w:p>
    <w:p>
      <w:pPr>
        <w:pStyle w:val="ListBullet"/>
      </w:pPr>
      <w:r>
        <w:t>Regression-check ISO 27001, SOC 2, Cyber Essentials, NIST CSF 2.0 and Control Management after shared-file changes.</w:t>
      </w:r>
    </w:p>
    <w:p>
      <w:pPr>
        <w:pStyle w:val="Heading1"/>
      </w:pPr>
      <w:r>
        <w:t>15. Maintenance, versioning and provider-neutral extension</w:t>
      </w:r>
    </w:p>
    <w:p>
      <w:pPr>
        <w:pStyle w:val="ListBullet"/>
      </w:pPr>
      <w:r>
        <w:t>Version CIS catalogue/mapping changes through explicit intel_core migrations rather than editing historical tenant state.</w:t>
      </w:r>
    </w:p>
    <w:p>
      <w:pPr>
        <w:pStyle w:val="ListBullet"/>
      </w:pPr>
      <w:r>
        <w:t>Keep existing confirmed programmes bound to the version/configuration snapshot under which they were confirmed.</w:t>
      </w:r>
    </w:p>
    <w:p>
      <w:pPr>
        <w:pStyle w:val="ListBullet"/>
      </w:pPr>
      <w:r>
        <w:t>When scoring/driver logic changes materially, version or document the management model so historical interpretation remains explainable.</w:t>
      </w:r>
    </w:p>
    <w:p>
      <w:pPr>
        <w:pStyle w:val="ListBullet"/>
      </w:pPr>
      <w:r>
        <w:t>Keep CIS persistence vendor-neutral. Do not add Qualys/Tenable/Rapid7/Defender/CrowdStrike/Wiz-specific IDs to CIS tables.</w:t>
      </w:r>
    </w:p>
    <w:p>
      <w:pPr>
        <w:pStyle w:val="ListBullet"/>
      </w:pPr>
      <w:r>
        <w:t>Future technical observations should enter through a provider-adapter → common PurpleWASP technical observation/evidence layer → Assets/organisation Controls → frameworks architecture.</w:t>
      </w:r>
    </w:p>
    <w:p>
      <w:pPr>
        <w:pStyle w:val="ListBullet"/>
      </w:pPr>
      <w:r>
        <w:t>If official CIS content is licensed later, change content mode/source without rewriting programme/control architecture.</w:t>
      </w:r>
    </w:p>
    <w:p>
      <w:pPr>
        <w:pStyle w:val="ListBullet"/>
      </w:pPr>
      <w:r>
        <w:t>Update Help Centre, implementation guides and licensing notes whenever the supported CIS version or commercial-use basis changes.</w:t>
      </w:r>
    </w:p>
    <w:p>
      <w:pPr>
        <w:pStyle w:val="Heading1"/>
      </w:pPr>
      <w:r>
        <w:t>16. References</w:t>
      </w:r>
    </w:p>
    <w:p>
      <w:pPr>
        <w:pStyle w:val="Heading1"/>
      </w:pPr>
      <w:r>
        <w:t>References and source baseline</w:t>
      </w:r>
    </w:p>
    <w:p>
      <w:pPr/>
      <w:r>
        <w:t>PurpleWASP product baseline: CIS v8.1 foundation/setup and operational UI packages tested against the current tenant architecture, shared Compliance framework context, current Control Management assurance model and updated Resources package.</w:t>
      </w:r>
    </w:p>
    <w:p>
      <w:pPr/>
      <w:r>
        <w:t>1. CIS — CIS Critical Security Controls Version 8.1. https://www.cisecurity.org/controls/v8-1</w:t>
      </w:r>
    </w:p>
    <w:p>
      <w:pPr/>
      <w:r>
        <w:t>2. CIS — Implementation Groups. https://www.cisecurity.org/controls/implementation-groups</w:t>
      </w:r>
    </w:p>
    <w:p>
      <w:pPr/>
      <w:r>
        <w:t>3. CIS — Controls Assessment Specification. https://www.cisecurity.org/controls/cis-controls-assessment-specification</w:t>
      </w:r>
    </w:p>
    <w:p>
      <w:pPr/>
      <w:r>
        <w:t>4. CIS — Controls Assessment Specification v8.1 documentation. https://cas.docs.cisecurity.org/en/latest/</w:t>
      </w:r>
    </w:p>
    <w:p>
      <w:pPr/>
      <w:r>
        <w:t>5. CIS — Terms of Use for the Controls Assessment Specification. https://cas.docs.cisecurity.org/en/latest/source/terms-of-use/</w:t>
      </w:r>
    </w:p>
    <w:p>
      <w:pPr/>
      <w:r>
        <w:t>6. CIS — CIS Controls Navigator. https://www.cisecurity.org/controls/cis-controls-navigator</w:t>
      </w:r>
    </w:p>
    <w:p>
      <w:pPr/>
      <w:r>
        <w:t>External CIS sources were checked against the public material available on 19 September 2026. Framework content, assessment material and licensing terms evolve; confirm the current authoritative CIS source before changing product content, evaluation logic or commercial distribution.</w:t>
      </w:r>
    </w:p>
    <w:sectPr w:rsidR="00FC693F" w:rsidRPr="0006063C" w:rsidSect="00034616">
      <w:headerReference w:type="default" r:id="rId9"/>
      <w:footerReference w:type="default" r:id="rId10"/>
      <w:pgSz w:w="12240" w:h="15840"/>
      <w:pgMar w:top="1080" w:right="1181" w:bottom="1008" w:left="118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PWSmall"/>
      <w:jc w:val="right"/>
    </w:pPr>
    <w:r>
      <w:t xml:space="preserve">Page </w:t>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PWSmall"/>
      <w:jc w:val="right"/>
    </w:pPr>
    <w:r>
      <w:t>PurpleWASP  |  Framework Documentation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Arial" w:hAnsi="Arial"/>
      <w:color w:val="22222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ascii="Arial" w:hAnsi="Arial"/>
      <w:b/>
      <w:bCs/>
      <w:color w:val="4B0983"/>
      <w:sz w:val="36"/>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Arial" w:hAnsi="Arial"/>
      <w:b/>
      <w:bCs/>
      <w:color w:val="2E203C"/>
      <w:sz w:val="26"/>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Arial" w:hAnsi="Arial"/>
      <w:b/>
      <w:bCs/>
      <w:color w:val="4B0983"/>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Arial" w:hAnsi="Arial"/>
      <w:b/>
      <w:color w:val="2E203C"/>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WSmall">
    <w:name w:val="PW Small"/>
    <w:rPr>
      <w:rFonts w:ascii="Arial" w:hAnsi="Arial"/>
      <w:color w:val="666666"/>
      <w:sz w:val="16"/>
    </w:rPr>
  </w:style>
  <w:style w:type="paragraph" w:customStyle="1" w:styleId="PWCallout">
    <w:name w:val="PW Callout"/>
    <w:rPr>
      <w:rFonts w:ascii="Arial" w:hAnsi="Arial"/>
      <w:b/>
      <w:color w:val="2E203C"/>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CIS Controls v8.1 Technical Implementation Guide</dc:title>
  <dc:subject>PurpleWASP CIS Controls v8.1 technical implementation guide</dc:subject>
  <dc:creator>PurpleWASP</dc:creator>
  <cp:keywords/>
  <dc:description>generated by python-docx</dc:description>
  <cp:lastModifiedBy/>
  <cp:revision>1</cp:revision>
  <dcterms:created xsi:type="dcterms:W3CDTF">2013-12-23T23:15:00Z</dcterms:created>
  <dcterms:modified xsi:type="dcterms:W3CDTF">2013-12-23T23:15:00Z</dcterms:modified>
  <cp:category/>
</cp:coreProperties>
</file>